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179B" w14:textId="1BF24912" w:rsidR="001D5956" w:rsidRPr="00C37218" w:rsidRDefault="00000000">
      <w:pPr>
        <w:pStyle w:val="Ttulo"/>
        <w:jc w:val="center"/>
        <w:rPr>
          <w:rFonts w:ascii="Arial" w:hAnsi="Arial" w:cs="Arial"/>
          <w:b/>
          <w:bCs/>
          <w:sz w:val="40"/>
          <w:szCs w:val="40"/>
        </w:rPr>
      </w:pPr>
      <w:r>
        <w:rPr>
          <w:rFonts w:ascii="Arial" w:hAnsi="Arial" w:cs="Arial"/>
          <w:b/>
          <w:bCs/>
          <w:sz w:val="40"/>
          <w:szCs w:val="40"/>
        </w:rPr>
        <w:t>ESTRATEGIA DE PORTAFOLIO</w:t>
      </w:r>
    </w:p>
    <w:p w14:paraId="1835C8A3" w14:textId="1C453A07" w:rsidR="00C37218" w:rsidRPr="00C37218" w:rsidRDefault="00C37218" w:rsidP="00C37218">
      <w:pPr>
        <w:pStyle w:val="Ttulo1"/>
        <w:rPr>
          <w:rFonts w:ascii="Arial" w:hAnsi="Arial" w:cs="Arial"/>
          <w:sz w:val="20"/>
          <w:szCs w:val="20"/>
        </w:rPr>
      </w:pPr>
      <w:r>
        <w:rPr>
          <w:rFonts w:ascii="Arial" w:hAnsi="Arial" w:cs="Arial"/>
          <w:sz w:val="20"/>
          <w:szCs w:val="20"/>
        </w:rPr>
        <w:t>1. Estrategia de Inversión</w:t>
      </w:r>
    </w:p>
    <w:p w14:paraId="7880C8E1" w14:textId="77777777" w:rsidR="001D5956" w:rsidRPr="00C37218" w:rsidRDefault="00000000" w:rsidP="00C37218">
      <w:pPr>
        <w:jc w:val="both"/>
        <w:rPr>
          <w:rFonts w:ascii="Arial" w:hAnsi="Arial" w:cs="Arial"/>
          <w:sz w:val="20"/>
          <w:szCs w:val="20"/>
        </w:rPr>
      </w:pPr>
      <w:r>
        <w:rPr>
          <w:rFonts w:ascii="Arial" w:hAnsi="Arial" w:cs="Arial"/>
          <w:sz w:val="20"/>
          <w:szCs w:val="20"/>
        </w:rPr>
        <w:t>La estrategia de inversión implementada en la plataforma HowTheMarketWorks se construyó a partir de los resultados obtenidos en el análisis econométrico del proyecto, el cual integra modelos de regresión lineal, análisis de datos panel y modelos de series de tiempo ARIMA–GARCH. El objetivo principal fue identificar oportunidades de trading de corto plazo dentro del sector industrial, aprovechando señales cuantitativas generadas por el comportamiento reciente de los precios y por indicadores técnicos como RSI y medias móviles.</w:t>
      </w:r>
    </w:p>
    <w:p w14:paraId="7FA76003" w14:textId="77777777" w:rsidR="001D5956" w:rsidRPr="00C37218" w:rsidRDefault="00000000" w:rsidP="00C37218">
      <w:pPr>
        <w:jc w:val="both"/>
        <w:rPr>
          <w:rFonts w:ascii="Arial" w:hAnsi="Arial" w:cs="Arial"/>
          <w:sz w:val="20"/>
          <w:szCs w:val="20"/>
        </w:rPr>
      </w:pPr>
      <w:r>
        <w:rPr>
          <w:rFonts w:ascii="Arial" w:hAnsi="Arial" w:cs="Arial"/>
          <w:sz w:val="20"/>
          <w:szCs w:val="20"/>
        </w:rPr>
        <w:t>El análisis de series de tiempo intradía permitió evaluar la dinámica reciente de los activos analizados, así como la presencia de volatilidad condicional en los retornos financieros. Paralelamente, el análisis de datos panel permitió identificar qué variables financieras explican mejor la rentabilidad corporativa dentro del grupo de empresas analizadas.</w:t>
      </w:r>
    </w:p>
    <w:p w14:paraId="531B5218" w14:textId="77777777" w:rsidR="001D5956" w:rsidRPr="00C37218" w:rsidRDefault="00000000" w:rsidP="00C37218">
      <w:pPr>
        <w:jc w:val="both"/>
        <w:rPr>
          <w:rFonts w:ascii="Arial" w:hAnsi="Arial" w:cs="Arial"/>
          <w:sz w:val="20"/>
          <w:szCs w:val="20"/>
        </w:rPr>
      </w:pPr>
      <w:r>
        <w:rPr>
          <w:rFonts w:ascii="Arial" w:hAnsi="Arial" w:cs="Arial"/>
          <w:sz w:val="20"/>
          <w:szCs w:val="20"/>
        </w:rPr>
        <w:t>A partir de estos resultados se construyó una estrategia long–short dentro del sector industrial, combinando posiciones largas en activos con señales positivas y posiciones cortas en empresas con señales técnicas bajistas.</w:t>
      </w:r>
    </w:p>
    <w:p w14:paraId="5A293810" w14:textId="77777777" w:rsidR="001D5956" w:rsidRPr="00C37218" w:rsidRDefault="00000000" w:rsidP="00C37218">
      <w:pPr>
        <w:pStyle w:val="Ttulo1"/>
        <w:jc w:val="both"/>
        <w:rPr>
          <w:rFonts w:ascii="Arial" w:hAnsi="Arial" w:cs="Arial"/>
          <w:sz w:val="20"/>
          <w:szCs w:val="20"/>
        </w:rPr>
      </w:pPr>
      <w:r>
        <w:rPr>
          <w:rFonts w:ascii="Arial" w:hAnsi="Arial" w:cs="Arial"/>
          <w:sz w:val="20"/>
          <w:szCs w:val="20"/>
        </w:rPr>
        <w:t>2. Posiciones Largas (Long)</w:t>
      </w:r>
    </w:p>
    <w:p w14:paraId="7A589361" w14:textId="77777777" w:rsidR="001D5956" w:rsidRPr="00C37218" w:rsidRDefault="00000000" w:rsidP="00C37218">
      <w:pPr>
        <w:jc w:val="both"/>
        <w:rPr>
          <w:rFonts w:ascii="Arial" w:hAnsi="Arial" w:cs="Arial"/>
          <w:sz w:val="20"/>
          <w:szCs w:val="20"/>
        </w:rPr>
      </w:pPr>
      <w:r>
        <w:rPr>
          <w:rFonts w:ascii="Arial" w:hAnsi="Arial" w:cs="Arial"/>
          <w:sz w:val="20"/>
          <w:szCs w:val="20"/>
        </w:rPr>
        <w:t>Las posiciones largas se concentran en empresas que mostraron señales técnicas positivas en el análisis de series de tiempo o fundamentos operativos sólidos dentro del análisis econométrico.</w:t>
      </w:r>
    </w:p>
    <w:p w14:paraId="331ADAB6" w14:textId="77777777" w:rsidR="001D5956" w:rsidRPr="00C37218" w:rsidRDefault="00000000" w:rsidP="00C37218">
      <w:pPr>
        <w:jc w:val="both"/>
        <w:rPr>
          <w:rFonts w:ascii="Arial" w:hAnsi="Arial" w:cs="Arial"/>
          <w:sz w:val="20"/>
          <w:szCs w:val="20"/>
        </w:rPr>
      </w:pPr>
      <w:r>
        <w:rPr>
          <w:rFonts w:ascii="Arial" w:hAnsi="Arial" w:cs="Arial"/>
          <w:sz w:val="20"/>
          <w:szCs w:val="20"/>
        </w:rPr>
        <w:t>Las principales posiciones largas incluyen:</w:t>
      </w:r>
    </w:p>
    <w:p w14:paraId="2845564E"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DE (Deere &amp; Company): posición estratégica dentro del sector de maquinaria agrícola.</w:t>
      </w:r>
    </w:p>
    <w:p w14:paraId="070CAE2E"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PCAR (PACCAR): empresa con fuerte exposición al mercado de camiones pesados.</w:t>
      </w:r>
    </w:p>
    <w:p w14:paraId="0C82C4E6"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NUE (Nucor): líder en producción de acero dentro del ecosistema industrial.</w:t>
      </w:r>
    </w:p>
    <w:p w14:paraId="0FC86926"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PH (Parker</w:t>
      </w:r>
      <w:r>
        <w:rPr>
          <w:rFonts w:ascii="Cambria Math" w:hAnsi="Cambria Math" w:cs="Cambria Math"/>
          <w:sz w:val="20"/>
          <w:szCs w:val="20"/>
        </w:rPr>
        <w:t>‑</w:t>
      </w:r>
      <w:r>
        <w:rPr>
          <w:rFonts w:ascii="Arial" w:hAnsi="Arial" w:cs="Arial"/>
          <w:sz w:val="20"/>
          <w:szCs w:val="20"/>
        </w:rPr>
        <w:t>Hannifin): proveedor clave de componentes industriales.</w:t>
      </w:r>
    </w:p>
    <w:p w14:paraId="1676961F"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OSK (Oshkosh): fabricante de vehículos especializados con señales técnicas positivas.</w:t>
      </w:r>
    </w:p>
    <w:p w14:paraId="5E69E965"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XOM (Exxon Mobil): incorporado como activo de diversificación fuera del núcleo industrial.</w:t>
      </w:r>
    </w:p>
    <w:p w14:paraId="202BA222" w14:textId="77777777" w:rsidR="001D5956" w:rsidRPr="00C37218" w:rsidRDefault="00000000" w:rsidP="00C37218">
      <w:pPr>
        <w:pStyle w:val="Ttulo1"/>
        <w:jc w:val="both"/>
        <w:rPr>
          <w:rFonts w:ascii="Arial" w:hAnsi="Arial" w:cs="Arial"/>
          <w:sz w:val="20"/>
          <w:szCs w:val="20"/>
        </w:rPr>
      </w:pPr>
      <w:r>
        <w:rPr>
          <w:rFonts w:ascii="Arial" w:hAnsi="Arial" w:cs="Arial"/>
          <w:sz w:val="20"/>
          <w:szCs w:val="20"/>
        </w:rPr>
        <w:t>3. Posiciones Cortas (Short)</w:t>
      </w:r>
    </w:p>
    <w:p w14:paraId="44F7AF0B" w14:textId="77777777" w:rsidR="001D5956" w:rsidRPr="00C37218" w:rsidRDefault="00000000" w:rsidP="00C37218">
      <w:pPr>
        <w:jc w:val="both"/>
        <w:rPr>
          <w:rFonts w:ascii="Arial" w:hAnsi="Arial" w:cs="Arial"/>
          <w:sz w:val="20"/>
          <w:szCs w:val="20"/>
        </w:rPr>
      </w:pPr>
      <w:r>
        <w:rPr>
          <w:rFonts w:ascii="Arial" w:hAnsi="Arial" w:cs="Arial"/>
          <w:sz w:val="20"/>
          <w:szCs w:val="20"/>
        </w:rPr>
        <w:t>Además de las posiciones largas, se implementaron posiciones cortas en empresas que mostraron señales bajistas dentro del análisis técnico o debilidad relativa dentro del sector.</w:t>
      </w:r>
    </w:p>
    <w:p w14:paraId="6D0317C7"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CMI (Cummins): señal SELL/SHORT en el modelo intradía.</w:t>
      </w:r>
    </w:p>
    <w:p w14:paraId="2AB424E1"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CAT (Caterpillar): indicadores técnicos sugieren debilitamiento del momentum.</w:t>
      </w:r>
    </w:p>
    <w:p w14:paraId="5BF7A1AE" w14:textId="77777777" w:rsidR="001D5956" w:rsidRPr="00C37218" w:rsidRDefault="00000000" w:rsidP="00C37218">
      <w:pPr>
        <w:pStyle w:val="Listaconvietas"/>
        <w:jc w:val="both"/>
        <w:rPr>
          <w:rFonts w:ascii="Arial" w:hAnsi="Arial" w:cs="Arial"/>
          <w:sz w:val="20"/>
          <w:szCs w:val="20"/>
        </w:rPr>
      </w:pPr>
      <w:r>
        <w:rPr>
          <w:rFonts w:ascii="Arial" w:hAnsi="Arial" w:cs="Arial"/>
          <w:sz w:val="20"/>
          <w:szCs w:val="20"/>
        </w:rPr>
        <w:t>HON (Honeywell): comportamiento técnico más débil dentro del grupo analizado.</w:t>
      </w:r>
    </w:p>
    <w:p w14:paraId="4602772A" w14:textId="77777777" w:rsidR="001D5956" w:rsidRPr="00C37218" w:rsidRDefault="00000000" w:rsidP="00C37218">
      <w:pPr>
        <w:pStyle w:val="Ttulo1"/>
        <w:jc w:val="both"/>
        <w:rPr>
          <w:rFonts w:ascii="Arial" w:hAnsi="Arial" w:cs="Arial"/>
          <w:sz w:val="20"/>
          <w:szCs w:val="20"/>
        </w:rPr>
      </w:pPr>
      <w:r>
        <w:rPr>
          <w:rFonts w:ascii="Arial" w:hAnsi="Arial" w:cs="Arial"/>
          <w:sz w:val="20"/>
          <w:szCs w:val="20"/>
        </w:rPr>
        <w:t>4. Estrategia Long</w:t>
      </w:r>
      <w:r>
        <w:rPr>
          <w:rFonts w:ascii="Cambria Math" w:hAnsi="Cambria Math" w:cs="Cambria Math"/>
          <w:sz w:val="20"/>
          <w:szCs w:val="20"/>
        </w:rPr>
        <w:t>‑</w:t>
      </w:r>
      <w:r>
        <w:rPr>
          <w:rFonts w:ascii="Arial" w:hAnsi="Arial" w:cs="Arial"/>
          <w:sz w:val="20"/>
          <w:szCs w:val="20"/>
        </w:rPr>
        <w:t>Short</w:t>
      </w:r>
    </w:p>
    <w:p w14:paraId="67A24FC3" w14:textId="77777777" w:rsidR="001D5956" w:rsidRPr="00C37218" w:rsidRDefault="00000000" w:rsidP="00C37218">
      <w:pPr>
        <w:jc w:val="both"/>
        <w:rPr>
          <w:rFonts w:ascii="Arial" w:hAnsi="Arial" w:cs="Arial"/>
          <w:sz w:val="20"/>
          <w:szCs w:val="20"/>
        </w:rPr>
      </w:pPr>
      <w:r>
        <w:rPr>
          <w:rFonts w:ascii="Arial" w:hAnsi="Arial" w:cs="Arial"/>
          <w:sz w:val="20"/>
          <w:szCs w:val="20"/>
        </w:rPr>
        <w:t>La combinación de posiciones largas y cortas permite reducir la exposición neta al sector industrial, al mismo tiempo que se aprovechan diferencias de desempeño entre empresas. Este tipo de estrategia es común en portafolios cuantitativos porque permite capturar rendimientos relativos incluso en escenarios de alta volatilidad del mercado.</w:t>
      </w:r>
    </w:p>
    <w:p w14:paraId="58DACCF2" w14:textId="02CC9A1B" w:rsidR="001D5956" w:rsidRPr="00C37218" w:rsidRDefault="00000000" w:rsidP="00C37218">
      <w:pPr>
        <w:jc w:val="both"/>
        <w:rPr>
          <w:rFonts w:ascii="Arial" w:hAnsi="Arial" w:cs="Arial"/>
          <w:sz w:val="20"/>
          <w:szCs w:val="20"/>
        </w:rPr>
      </w:pPr>
      <w:r>
        <w:rPr>
          <w:rFonts w:ascii="Arial" w:hAnsi="Arial" w:cs="Arial"/>
          <w:sz w:val="20"/>
          <w:szCs w:val="20"/>
        </w:rPr>
        <w:lastRenderedPageBreak/>
        <w:t>Además, la diversificación hacia empresas con diferentes roles dentro de la cadena industrial, fabricantes de maquinaria, proveedores de componentes, productores de materias primas y empresas energéticas, permite reducir el riesgo de concentración dentro del portafolio.</w:t>
      </w:r>
    </w:p>
    <w:p w14:paraId="5CF54956" w14:textId="77777777" w:rsidR="001D5956" w:rsidRPr="00C37218" w:rsidRDefault="00000000" w:rsidP="00C37218">
      <w:pPr>
        <w:pStyle w:val="Ttulo1"/>
        <w:jc w:val="both"/>
        <w:rPr>
          <w:rFonts w:ascii="Arial" w:hAnsi="Arial" w:cs="Arial"/>
          <w:sz w:val="20"/>
          <w:szCs w:val="20"/>
        </w:rPr>
      </w:pPr>
      <w:r>
        <w:rPr>
          <w:rFonts w:ascii="Arial" w:hAnsi="Arial" w:cs="Arial"/>
          <w:sz w:val="20"/>
          <w:szCs w:val="20"/>
        </w:rPr>
        <w:t>5. Portafolio Final</w:t>
      </w:r>
    </w:p>
    <w:p w14:paraId="490B57E3" w14:textId="77777777" w:rsidR="001D5956" w:rsidRPr="00C37218" w:rsidRDefault="00000000" w:rsidP="00C37218">
      <w:pPr>
        <w:jc w:val="both"/>
        <w:rPr>
          <w:rFonts w:ascii="Arial" w:hAnsi="Arial" w:cs="Arial"/>
          <w:sz w:val="20"/>
          <w:szCs w:val="20"/>
        </w:rPr>
      </w:pPr>
      <w:r>
        <w:rPr>
          <w:rFonts w:ascii="Arial" w:hAnsi="Arial" w:cs="Arial"/>
          <w:sz w:val="20"/>
          <w:szCs w:val="20"/>
        </w:rPr>
        <w:t>La siguiente tabla resume las posiciones implementadas dentro del portafolio. Se incluyen tanto posiciones largas como posiciones cortas con el objetivo de aprovechar oportunidades alcistas y bajistas dentro del mercado.</w:t>
      </w:r>
    </w:p>
    <w:tbl>
      <w:tblPr>
        <w:tblW w:w="0" w:type="auto"/>
        <w:tblLook w:val="04A0" w:firstRow="1" w:lastRow="0" w:firstColumn="1" w:lastColumn="0" w:noHBand="0" w:noVBand="1"/>
      </w:tblPr>
      <w:tblGrid>
        <w:gridCol w:w="1728"/>
        <w:gridCol w:w="1728"/>
        <w:gridCol w:w="1728"/>
        <w:gridCol w:w="1728"/>
        <w:gridCol w:w="1728"/>
      </w:tblGrid>
      <w:tr w:rsidR="001D5956" w:rsidRPr="00C37218" w14:paraId="6D1CF93E" w14:textId="77777777" w:rsidTr="00C37218">
        <w:tc>
          <w:tcPr>
            <w:tcW w:w="1728" w:type="dxa"/>
            <w:tcBorders>
              <w:bottom w:val="single" w:sz="4" w:space="0" w:color="auto"/>
            </w:tcBorders>
            <w:shd w:val="clear" w:color="auto" w:fill="17365D" w:themeFill="text2" w:themeFillShade="BF"/>
          </w:tcPr>
          <w:p w14:paraId="53376BAB" w14:textId="77777777" w:rsidR="001D5956" w:rsidRPr="00C37218" w:rsidRDefault="00000000">
            <w:pPr>
              <w:rPr>
                <w:rFonts w:ascii="Arial" w:hAnsi="Arial" w:cs="Arial"/>
                <w:sz w:val="20"/>
                <w:szCs w:val="20"/>
              </w:rPr>
            </w:pPr>
            <w:r>
              <w:rPr>
                <w:rFonts w:ascii="Arial" w:hAnsi="Arial" w:cs="Arial"/>
                <w:sz w:val="20"/>
                <w:szCs w:val="20"/>
              </w:rPr>
              <w:t>Ticker</w:t>
            </w:r>
          </w:p>
        </w:tc>
        <w:tc>
          <w:tcPr>
            <w:tcW w:w="1728" w:type="dxa"/>
            <w:tcBorders>
              <w:bottom w:val="single" w:sz="4" w:space="0" w:color="auto"/>
            </w:tcBorders>
            <w:shd w:val="clear" w:color="auto" w:fill="17365D" w:themeFill="text2" w:themeFillShade="BF"/>
          </w:tcPr>
          <w:p w14:paraId="102A4E8C" w14:textId="77777777" w:rsidR="001D5956" w:rsidRPr="00C37218" w:rsidRDefault="00000000">
            <w:pPr>
              <w:rPr>
                <w:rFonts w:ascii="Arial" w:hAnsi="Arial" w:cs="Arial"/>
                <w:sz w:val="20"/>
                <w:szCs w:val="20"/>
              </w:rPr>
            </w:pPr>
            <w:r>
              <w:rPr>
                <w:rFonts w:ascii="Arial" w:hAnsi="Arial" w:cs="Arial"/>
                <w:sz w:val="20"/>
                <w:szCs w:val="20"/>
              </w:rPr>
              <w:t>Empresa</w:t>
            </w:r>
          </w:p>
        </w:tc>
        <w:tc>
          <w:tcPr>
            <w:tcW w:w="1728" w:type="dxa"/>
            <w:tcBorders>
              <w:bottom w:val="single" w:sz="4" w:space="0" w:color="auto"/>
            </w:tcBorders>
            <w:shd w:val="clear" w:color="auto" w:fill="17365D" w:themeFill="text2" w:themeFillShade="BF"/>
          </w:tcPr>
          <w:p w14:paraId="42141904" w14:textId="77777777" w:rsidR="001D5956" w:rsidRPr="00C37218" w:rsidRDefault="00000000">
            <w:pPr>
              <w:rPr>
                <w:rFonts w:ascii="Arial" w:hAnsi="Arial" w:cs="Arial"/>
                <w:sz w:val="20"/>
                <w:szCs w:val="20"/>
              </w:rPr>
            </w:pPr>
            <w:r>
              <w:rPr>
                <w:rFonts w:ascii="Arial" w:hAnsi="Arial" w:cs="Arial"/>
                <w:sz w:val="20"/>
                <w:szCs w:val="20"/>
              </w:rPr>
              <w:t>Posición</w:t>
            </w:r>
          </w:p>
        </w:tc>
        <w:tc>
          <w:tcPr>
            <w:tcW w:w="1728" w:type="dxa"/>
            <w:tcBorders>
              <w:bottom w:val="single" w:sz="4" w:space="0" w:color="auto"/>
            </w:tcBorders>
            <w:shd w:val="clear" w:color="auto" w:fill="17365D" w:themeFill="text2" w:themeFillShade="BF"/>
          </w:tcPr>
          <w:p w14:paraId="18108539" w14:textId="77777777" w:rsidR="001D5956" w:rsidRPr="00C37218" w:rsidRDefault="00000000">
            <w:pPr>
              <w:rPr>
                <w:rFonts w:ascii="Arial" w:hAnsi="Arial" w:cs="Arial"/>
                <w:sz w:val="20"/>
                <w:szCs w:val="20"/>
              </w:rPr>
            </w:pPr>
            <w:r>
              <w:rPr>
                <w:rFonts w:ascii="Arial" w:hAnsi="Arial" w:cs="Arial"/>
                <w:sz w:val="20"/>
                <w:szCs w:val="20"/>
              </w:rPr>
              <w:t>Acciones</w:t>
            </w:r>
          </w:p>
        </w:tc>
        <w:tc>
          <w:tcPr>
            <w:tcW w:w="1728" w:type="dxa"/>
            <w:tcBorders>
              <w:bottom w:val="single" w:sz="4" w:space="0" w:color="auto"/>
            </w:tcBorders>
            <w:shd w:val="clear" w:color="auto" w:fill="17365D" w:themeFill="text2" w:themeFillShade="BF"/>
          </w:tcPr>
          <w:p w14:paraId="4CD39C38" w14:textId="77777777" w:rsidR="001D5956" w:rsidRPr="00C37218" w:rsidRDefault="00000000">
            <w:pPr>
              <w:rPr>
                <w:rFonts w:ascii="Arial" w:hAnsi="Arial" w:cs="Arial"/>
                <w:sz w:val="20"/>
                <w:szCs w:val="20"/>
              </w:rPr>
            </w:pPr>
            <w:r>
              <w:rPr>
                <w:rFonts w:ascii="Arial" w:hAnsi="Arial" w:cs="Arial"/>
                <w:sz w:val="20"/>
                <w:szCs w:val="20"/>
              </w:rPr>
              <w:t>Comentario</w:t>
            </w:r>
          </w:p>
        </w:tc>
      </w:tr>
      <w:tr w:rsidR="001D5956" w:rsidRPr="00C37218" w14:paraId="1A42CD41"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B92A4C1" w14:textId="77777777" w:rsidR="001D5956" w:rsidRPr="00C37218" w:rsidRDefault="00000000">
            <w:pPr>
              <w:rPr>
                <w:rFonts w:ascii="Arial" w:hAnsi="Arial" w:cs="Arial"/>
                <w:sz w:val="20"/>
                <w:szCs w:val="20"/>
              </w:rPr>
            </w:pPr>
            <w:r>
              <w:rPr>
                <w:rFonts w:ascii="Arial" w:hAnsi="Arial" w:cs="Arial"/>
                <w:sz w:val="20"/>
                <w:szCs w:val="20"/>
              </w:rPr>
              <w:t>DE</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3C742E1" w14:textId="77777777" w:rsidR="001D5956" w:rsidRPr="00C37218" w:rsidRDefault="00000000">
            <w:pPr>
              <w:rPr>
                <w:rFonts w:ascii="Arial" w:hAnsi="Arial" w:cs="Arial"/>
                <w:sz w:val="20"/>
                <w:szCs w:val="20"/>
              </w:rPr>
            </w:pPr>
            <w:r>
              <w:rPr>
                <w:rFonts w:ascii="Arial" w:hAnsi="Arial" w:cs="Arial"/>
                <w:sz w:val="20"/>
                <w:szCs w:val="20"/>
              </w:rPr>
              <w:t>Deere &amp; Company</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E5D5F25" w14:textId="77777777" w:rsidR="001D5956" w:rsidRPr="00C37218" w:rsidRDefault="00000000">
            <w:pPr>
              <w:rPr>
                <w:rFonts w:ascii="Arial" w:hAnsi="Arial" w:cs="Arial"/>
                <w:sz w:val="20"/>
                <w:szCs w:val="20"/>
              </w:rPr>
            </w:pPr>
            <w:r>
              <w:rPr>
                <w:rFonts w:ascii="Arial" w:hAnsi="Arial" w:cs="Arial"/>
                <w:sz w:val="20"/>
                <w:szCs w:val="20"/>
              </w:rPr>
              <w:t>Long</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F17EB21" w14:textId="77777777" w:rsidR="001D5956" w:rsidRPr="00C37218" w:rsidRDefault="00000000">
            <w:pPr>
              <w:rPr>
                <w:rFonts w:ascii="Arial" w:hAnsi="Arial" w:cs="Arial"/>
                <w:sz w:val="20"/>
                <w:szCs w:val="20"/>
              </w:rPr>
            </w:pPr>
            <w:r>
              <w:rPr>
                <w:rFonts w:ascii="Arial" w:hAnsi="Arial" w:cs="Arial"/>
                <w:sz w:val="20"/>
                <w:szCs w:val="20"/>
              </w:rPr>
              <w:t>5000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3A41EEB" w14:textId="77777777" w:rsidR="001D5956" w:rsidRPr="00C37218" w:rsidRDefault="00000000">
            <w:pPr>
              <w:rPr>
                <w:rFonts w:ascii="Arial" w:hAnsi="Arial" w:cs="Arial"/>
                <w:sz w:val="20"/>
                <w:szCs w:val="20"/>
              </w:rPr>
            </w:pPr>
            <w:r>
              <w:rPr>
                <w:rFonts w:ascii="Arial" w:hAnsi="Arial" w:cs="Arial"/>
                <w:sz w:val="20"/>
                <w:szCs w:val="20"/>
              </w:rPr>
              <w:t>Momentum positivo</w:t>
            </w:r>
          </w:p>
        </w:tc>
      </w:tr>
      <w:tr w:rsidR="001D5956" w:rsidRPr="00C37218" w14:paraId="5EE2B605"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FC8ECB7" w14:textId="77777777" w:rsidR="001D5956" w:rsidRPr="00C37218" w:rsidRDefault="00000000">
            <w:pPr>
              <w:rPr>
                <w:rFonts w:ascii="Arial" w:hAnsi="Arial" w:cs="Arial"/>
                <w:sz w:val="20"/>
                <w:szCs w:val="20"/>
              </w:rPr>
            </w:pPr>
            <w:r>
              <w:rPr>
                <w:rFonts w:ascii="Arial" w:hAnsi="Arial" w:cs="Arial"/>
                <w:sz w:val="20"/>
                <w:szCs w:val="20"/>
              </w:rPr>
              <w:t>PCAR</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A2DE181" w14:textId="77777777" w:rsidR="001D5956" w:rsidRPr="00C37218" w:rsidRDefault="00000000">
            <w:pPr>
              <w:rPr>
                <w:rFonts w:ascii="Arial" w:hAnsi="Arial" w:cs="Arial"/>
                <w:sz w:val="20"/>
                <w:szCs w:val="20"/>
              </w:rPr>
            </w:pPr>
            <w:r>
              <w:rPr>
                <w:rFonts w:ascii="Arial" w:hAnsi="Arial" w:cs="Arial"/>
                <w:sz w:val="20"/>
                <w:szCs w:val="20"/>
              </w:rPr>
              <w:t>PACCAR</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D30CE1B" w14:textId="77777777" w:rsidR="001D5956" w:rsidRPr="00C37218" w:rsidRDefault="00000000">
            <w:pPr>
              <w:rPr>
                <w:rFonts w:ascii="Arial" w:hAnsi="Arial" w:cs="Arial"/>
                <w:sz w:val="20"/>
                <w:szCs w:val="20"/>
              </w:rPr>
            </w:pPr>
            <w:r>
              <w:rPr>
                <w:rFonts w:ascii="Arial" w:hAnsi="Arial" w:cs="Arial"/>
                <w:sz w:val="20"/>
                <w:szCs w:val="20"/>
              </w:rPr>
              <w:t>Long</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45FBD26" w14:textId="77777777" w:rsidR="001D5956" w:rsidRPr="00C37218" w:rsidRDefault="00000000">
            <w:pPr>
              <w:rPr>
                <w:rFonts w:ascii="Arial" w:hAnsi="Arial" w:cs="Arial"/>
                <w:sz w:val="20"/>
                <w:szCs w:val="20"/>
              </w:rPr>
            </w:pPr>
            <w:r>
              <w:rPr>
                <w:rFonts w:ascii="Arial" w:hAnsi="Arial" w:cs="Arial"/>
                <w:sz w:val="20"/>
                <w:szCs w:val="20"/>
              </w:rPr>
              <w:t>1000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7E81E64" w14:textId="77777777" w:rsidR="001D5956" w:rsidRPr="00C37218" w:rsidRDefault="00000000">
            <w:pPr>
              <w:rPr>
                <w:rFonts w:ascii="Arial" w:hAnsi="Arial" w:cs="Arial"/>
                <w:sz w:val="20"/>
                <w:szCs w:val="20"/>
              </w:rPr>
            </w:pPr>
            <w:r>
              <w:rPr>
                <w:rFonts w:ascii="Arial" w:hAnsi="Arial" w:cs="Arial"/>
                <w:sz w:val="20"/>
                <w:szCs w:val="20"/>
              </w:rPr>
              <w:t>Exposición transporte pesado</w:t>
            </w:r>
          </w:p>
        </w:tc>
      </w:tr>
      <w:tr w:rsidR="001D5956" w:rsidRPr="00C37218" w14:paraId="428BCBC8"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A6DD9E6" w14:textId="77777777" w:rsidR="001D5956" w:rsidRPr="00C37218" w:rsidRDefault="00000000">
            <w:pPr>
              <w:rPr>
                <w:rFonts w:ascii="Arial" w:hAnsi="Arial" w:cs="Arial"/>
                <w:sz w:val="20"/>
                <w:szCs w:val="20"/>
              </w:rPr>
            </w:pPr>
            <w:r>
              <w:rPr>
                <w:rFonts w:ascii="Arial" w:hAnsi="Arial" w:cs="Arial"/>
                <w:sz w:val="20"/>
                <w:szCs w:val="20"/>
              </w:rPr>
              <w:t>NUE</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34D1E9A" w14:textId="77777777" w:rsidR="001D5956" w:rsidRPr="00C37218" w:rsidRDefault="00000000">
            <w:pPr>
              <w:rPr>
                <w:rFonts w:ascii="Arial" w:hAnsi="Arial" w:cs="Arial"/>
                <w:sz w:val="20"/>
                <w:szCs w:val="20"/>
              </w:rPr>
            </w:pPr>
            <w:r>
              <w:rPr>
                <w:rFonts w:ascii="Arial" w:hAnsi="Arial" w:cs="Arial"/>
                <w:sz w:val="20"/>
                <w:szCs w:val="20"/>
              </w:rPr>
              <w:t>Nucor</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09BCFD0" w14:textId="77777777" w:rsidR="001D5956" w:rsidRPr="00C37218" w:rsidRDefault="00000000">
            <w:pPr>
              <w:rPr>
                <w:rFonts w:ascii="Arial" w:hAnsi="Arial" w:cs="Arial"/>
                <w:sz w:val="20"/>
                <w:szCs w:val="20"/>
              </w:rPr>
            </w:pPr>
            <w:r>
              <w:rPr>
                <w:rFonts w:ascii="Arial" w:hAnsi="Arial" w:cs="Arial"/>
                <w:sz w:val="20"/>
                <w:szCs w:val="20"/>
              </w:rPr>
              <w:t>Long</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4803E8B" w14:textId="77777777" w:rsidR="001D5956" w:rsidRPr="00C37218" w:rsidRDefault="00000000">
            <w:pPr>
              <w:rPr>
                <w:rFonts w:ascii="Arial" w:hAnsi="Arial" w:cs="Arial"/>
                <w:sz w:val="20"/>
                <w:szCs w:val="20"/>
              </w:rPr>
            </w:pPr>
            <w:r>
              <w:rPr>
                <w:rFonts w:ascii="Arial" w:hAnsi="Arial" w:cs="Arial"/>
                <w:sz w:val="20"/>
                <w:szCs w:val="20"/>
              </w:rPr>
              <w:t>5000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6EC4E7C" w14:textId="77777777" w:rsidR="001D5956" w:rsidRPr="00C37218" w:rsidRDefault="00000000">
            <w:pPr>
              <w:rPr>
                <w:rFonts w:ascii="Arial" w:hAnsi="Arial" w:cs="Arial"/>
                <w:sz w:val="20"/>
                <w:szCs w:val="20"/>
              </w:rPr>
            </w:pPr>
            <w:r>
              <w:rPr>
                <w:rFonts w:ascii="Arial" w:hAnsi="Arial" w:cs="Arial"/>
                <w:sz w:val="20"/>
                <w:szCs w:val="20"/>
              </w:rPr>
              <w:t>Crecimiento en ventas</w:t>
            </w:r>
          </w:p>
        </w:tc>
      </w:tr>
      <w:tr w:rsidR="001D5956" w:rsidRPr="00C37218" w14:paraId="24D8A07F"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8157E3E" w14:textId="77777777" w:rsidR="001D5956" w:rsidRPr="00C37218" w:rsidRDefault="00000000">
            <w:pPr>
              <w:rPr>
                <w:rFonts w:ascii="Arial" w:hAnsi="Arial" w:cs="Arial"/>
                <w:sz w:val="20"/>
                <w:szCs w:val="20"/>
              </w:rPr>
            </w:pPr>
            <w:r>
              <w:rPr>
                <w:rFonts w:ascii="Arial" w:hAnsi="Arial" w:cs="Arial"/>
                <w:sz w:val="20"/>
                <w:szCs w:val="20"/>
              </w:rPr>
              <w:t>PH</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B98C80C" w14:textId="77777777" w:rsidR="001D5956" w:rsidRPr="00C37218" w:rsidRDefault="00000000">
            <w:pPr>
              <w:rPr>
                <w:rFonts w:ascii="Arial" w:hAnsi="Arial" w:cs="Arial"/>
                <w:sz w:val="20"/>
                <w:szCs w:val="20"/>
              </w:rPr>
            </w:pPr>
            <w:r>
              <w:rPr>
                <w:rFonts w:ascii="Arial" w:hAnsi="Arial" w:cs="Arial"/>
                <w:sz w:val="20"/>
                <w:szCs w:val="20"/>
              </w:rPr>
              <w:t>Parker</w:t>
            </w:r>
            <w:r>
              <w:rPr>
                <w:rFonts w:ascii="Cambria Math" w:hAnsi="Cambria Math" w:cs="Cambria Math"/>
                <w:sz w:val="20"/>
                <w:szCs w:val="20"/>
              </w:rPr>
              <w:t>‑</w:t>
            </w:r>
            <w:r>
              <w:rPr>
                <w:rFonts w:ascii="Arial" w:hAnsi="Arial" w:cs="Arial"/>
                <w:sz w:val="20"/>
                <w:szCs w:val="20"/>
              </w:rPr>
              <w:t>Hannifin</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F3F3EB0" w14:textId="77777777" w:rsidR="001D5956" w:rsidRPr="00C37218" w:rsidRDefault="00000000">
            <w:pPr>
              <w:rPr>
                <w:rFonts w:ascii="Arial" w:hAnsi="Arial" w:cs="Arial"/>
                <w:sz w:val="20"/>
                <w:szCs w:val="20"/>
              </w:rPr>
            </w:pPr>
            <w:r>
              <w:rPr>
                <w:rFonts w:ascii="Arial" w:hAnsi="Arial" w:cs="Arial"/>
                <w:sz w:val="20"/>
                <w:szCs w:val="20"/>
              </w:rPr>
              <w:t>Long</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854C6F8" w14:textId="77777777" w:rsidR="001D5956" w:rsidRPr="00C37218" w:rsidRDefault="00000000">
            <w:pPr>
              <w:rPr>
                <w:rFonts w:ascii="Arial" w:hAnsi="Arial" w:cs="Arial"/>
                <w:sz w:val="20"/>
                <w:szCs w:val="20"/>
              </w:rPr>
            </w:pPr>
            <w:r>
              <w:rPr>
                <w:rFonts w:ascii="Arial" w:hAnsi="Arial" w:cs="Arial"/>
                <w:sz w:val="20"/>
                <w:szCs w:val="20"/>
              </w:rPr>
              <w:t>10000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761FAA1" w14:textId="77777777" w:rsidR="001D5956" w:rsidRPr="00C37218" w:rsidRDefault="00000000">
            <w:pPr>
              <w:rPr>
                <w:rFonts w:ascii="Arial" w:hAnsi="Arial" w:cs="Arial"/>
                <w:sz w:val="20"/>
                <w:szCs w:val="20"/>
              </w:rPr>
            </w:pPr>
            <w:r>
              <w:rPr>
                <w:rFonts w:ascii="Arial" w:hAnsi="Arial" w:cs="Arial"/>
                <w:sz w:val="20"/>
                <w:szCs w:val="20"/>
              </w:rPr>
              <w:t>Alto margen operativo</w:t>
            </w:r>
          </w:p>
        </w:tc>
      </w:tr>
      <w:tr w:rsidR="001D5956" w:rsidRPr="00C37218" w14:paraId="403C2217"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591EFD8" w14:textId="77777777" w:rsidR="001D5956" w:rsidRPr="00C37218" w:rsidRDefault="00000000">
            <w:pPr>
              <w:rPr>
                <w:rFonts w:ascii="Arial" w:hAnsi="Arial" w:cs="Arial"/>
                <w:sz w:val="20"/>
                <w:szCs w:val="20"/>
              </w:rPr>
            </w:pPr>
            <w:r>
              <w:rPr>
                <w:rFonts w:ascii="Arial" w:hAnsi="Arial" w:cs="Arial"/>
                <w:sz w:val="20"/>
                <w:szCs w:val="20"/>
              </w:rPr>
              <w:t>OSK</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AAB04C9" w14:textId="77777777" w:rsidR="001D5956" w:rsidRPr="00C37218" w:rsidRDefault="00000000">
            <w:pPr>
              <w:rPr>
                <w:rFonts w:ascii="Arial" w:hAnsi="Arial" w:cs="Arial"/>
                <w:sz w:val="20"/>
                <w:szCs w:val="20"/>
              </w:rPr>
            </w:pPr>
            <w:r>
              <w:rPr>
                <w:rFonts w:ascii="Arial" w:hAnsi="Arial" w:cs="Arial"/>
                <w:sz w:val="20"/>
                <w:szCs w:val="20"/>
              </w:rPr>
              <w:t>Oshkosh</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DE3929F" w14:textId="77777777" w:rsidR="001D5956" w:rsidRPr="00C37218" w:rsidRDefault="00000000">
            <w:pPr>
              <w:rPr>
                <w:rFonts w:ascii="Arial" w:hAnsi="Arial" w:cs="Arial"/>
                <w:sz w:val="20"/>
                <w:szCs w:val="20"/>
              </w:rPr>
            </w:pPr>
            <w:r>
              <w:rPr>
                <w:rFonts w:ascii="Arial" w:hAnsi="Arial" w:cs="Arial"/>
                <w:sz w:val="20"/>
                <w:szCs w:val="20"/>
              </w:rPr>
              <w:t>Long</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E7CC469" w14:textId="77777777" w:rsidR="001D5956" w:rsidRPr="00C37218" w:rsidRDefault="00000000">
            <w:pPr>
              <w:rPr>
                <w:rFonts w:ascii="Arial" w:hAnsi="Arial" w:cs="Arial"/>
                <w:sz w:val="20"/>
                <w:szCs w:val="20"/>
              </w:rPr>
            </w:pPr>
            <w:r>
              <w:rPr>
                <w:rFonts w:ascii="Arial" w:hAnsi="Arial" w:cs="Arial"/>
                <w:sz w:val="20"/>
                <w:szCs w:val="20"/>
              </w:rPr>
              <w:t>8000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7387EA80" w14:textId="77777777" w:rsidR="001D5956" w:rsidRPr="00C37218" w:rsidRDefault="00000000">
            <w:pPr>
              <w:rPr>
                <w:rFonts w:ascii="Arial" w:hAnsi="Arial" w:cs="Arial"/>
                <w:sz w:val="20"/>
                <w:szCs w:val="20"/>
              </w:rPr>
            </w:pPr>
            <w:r>
              <w:rPr>
                <w:rFonts w:ascii="Arial" w:hAnsi="Arial" w:cs="Arial"/>
                <w:sz w:val="20"/>
                <w:szCs w:val="20"/>
              </w:rPr>
              <w:t>Señal técnica positiva</w:t>
            </w:r>
          </w:p>
        </w:tc>
      </w:tr>
      <w:tr w:rsidR="001D5956" w:rsidRPr="00C37218" w14:paraId="55FBABB4"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DF4B448" w14:textId="77777777" w:rsidR="001D5956" w:rsidRPr="00C37218" w:rsidRDefault="00000000">
            <w:pPr>
              <w:rPr>
                <w:rFonts w:ascii="Arial" w:hAnsi="Arial" w:cs="Arial"/>
                <w:sz w:val="20"/>
                <w:szCs w:val="20"/>
              </w:rPr>
            </w:pPr>
            <w:r>
              <w:rPr>
                <w:rFonts w:ascii="Arial" w:hAnsi="Arial" w:cs="Arial"/>
                <w:sz w:val="20"/>
                <w:szCs w:val="20"/>
              </w:rPr>
              <w:t>XOM</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FB50587" w14:textId="77777777" w:rsidR="001D5956" w:rsidRPr="00C37218" w:rsidRDefault="00000000">
            <w:pPr>
              <w:rPr>
                <w:rFonts w:ascii="Arial" w:hAnsi="Arial" w:cs="Arial"/>
                <w:sz w:val="20"/>
                <w:szCs w:val="20"/>
              </w:rPr>
            </w:pPr>
            <w:r>
              <w:rPr>
                <w:rFonts w:ascii="Arial" w:hAnsi="Arial" w:cs="Arial"/>
                <w:sz w:val="20"/>
                <w:szCs w:val="20"/>
              </w:rPr>
              <w:t>Exxon Mobil</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EA1B794" w14:textId="77777777" w:rsidR="001D5956" w:rsidRPr="00C37218" w:rsidRDefault="00000000">
            <w:pPr>
              <w:rPr>
                <w:rFonts w:ascii="Arial" w:hAnsi="Arial" w:cs="Arial"/>
                <w:sz w:val="20"/>
                <w:szCs w:val="20"/>
              </w:rPr>
            </w:pPr>
            <w:r>
              <w:rPr>
                <w:rFonts w:ascii="Arial" w:hAnsi="Arial" w:cs="Arial"/>
                <w:sz w:val="20"/>
                <w:szCs w:val="20"/>
              </w:rPr>
              <w:t>Long</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D0C70B3" w14:textId="77777777" w:rsidR="001D5956" w:rsidRPr="00C37218" w:rsidRDefault="00000000">
            <w:pPr>
              <w:rPr>
                <w:rFonts w:ascii="Arial" w:hAnsi="Arial" w:cs="Arial"/>
                <w:sz w:val="20"/>
                <w:szCs w:val="20"/>
              </w:rPr>
            </w:pPr>
            <w:r>
              <w:rPr>
                <w:rFonts w:ascii="Arial" w:hAnsi="Arial" w:cs="Arial"/>
                <w:sz w:val="20"/>
                <w:szCs w:val="20"/>
              </w:rPr>
              <w:t>1000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14C44E4" w14:textId="77777777" w:rsidR="001D5956" w:rsidRPr="00C37218" w:rsidRDefault="00000000">
            <w:pPr>
              <w:rPr>
                <w:rFonts w:ascii="Arial" w:hAnsi="Arial" w:cs="Arial"/>
                <w:sz w:val="20"/>
                <w:szCs w:val="20"/>
              </w:rPr>
            </w:pPr>
            <w:r>
              <w:rPr>
                <w:rFonts w:ascii="Arial" w:hAnsi="Arial" w:cs="Arial"/>
                <w:sz w:val="20"/>
                <w:szCs w:val="20"/>
              </w:rPr>
              <w:t>Diversificación sector energía</w:t>
            </w:r>
          </w:p>
        </w:tc>
      </w:tr>
      <w:tr w:rsidR="001D5956" w:rsidRPr="00C37218" w14:paraId="1F44263A"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2F7002B" w14:textId="77777777" w:rsidR="001D5956" w:rsidRPr="00C37218" w:rsidRDefault="00000000">
            <w:pPr>
              <w:rPr>
                <w:rFonts w:ascii="Arial" w:hAnsi="Arial" w:cs="Arial"/>
                <w:sz w:val="20"/>
                <w:szCs w:val="20"/>
              </w:rPr>
            </w:pPr>
            <w:r>
              <w:rPr>
                <w:rFonts w:ascii="Arial" w:hAnsi="Arial" w:cs="Arial"/>
                <w:sz w:val="20"/>
                <w:szCs w:val="20"/>
              </w:rPr>
              <w:t>CMI</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48CE3B0D" w14:textId="77777777" w:rsidR="001D5956" w:rsidRPr="00C37218" w:rsidRDefault="00000000">
            <w:pPr>
              <w:rPr>
                <w:rFonts w:ascii="Arial" w:hAnsi="Arial" w:cs="Arial"/>
                <w:sz w:val="20"/>
                <w:szCs w:val="20"/>
              </w:rPr>
            </w:pPr>
            <w:r>
              <w:rPr>
                <w:rFonts w:ascii="Arial" w:hAnsi="Arial" w:cs="Arial"/>
                <w:sz w:val="20"/>
                <w:szCs w:val="20"/>
              </w:rPr>
              <w:t>Cummins</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ABC3BDD" w14:textId="77777777" w:rsidR="001D5956" w:rsidRPr="00C37218" w:rsidRDefault="00000000">
            <w:pPr>
              <w:rPr>
                <w:rFonts w:ascii="Arial" w:hAnsi="Arial" w:cs="Arial"/>
                <w:sz w:val="20"/>
                <w:szCs w:val="20"/>
              </w:rPr>
            </w:pPr>
            <w:r>
              <w:rPr>
                <w:rFonts w:ascii="Arial" w:hAnsi="Arial" w:cs="Arial"/>
                <w:sz w:val="20"/>
                <w:szCs w:val="20"/>
              </w:rPr>
              <w:t>Short</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2515478" w14:textId="77777777" w:rsidR="001D5956" w:rsidRPr="00C37218" w:rsidRDefault="00000000">
            <w:pPr>
              <w:rPr>
                <w:rFonts w:ascii="Arial" w:hAnsi="Arial" w:cs="Arial"/>
                <w:sz w:val="20"/>
                <w:szCs w:val="20"/>
              </w:rPr>
            </w:pPr>
            <w:r>
              <w:rPr>
                <w:rFonts w:ascii="Arial" w:hAnsi="Arial" w:cs="Arial"/>
                <w:sz w:val="20"/>
                <w:szCs w:val="20"/>
              </w:rPr>
              <w:t>3000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522487F" w14:textId="77777777" w:rsidR="001D5956" w:rsidRPr="00C37218" w:rsidRDefault="00000000">
            <w:pPr>
              <w:rPr>
                <w:rFonts w:ascii="Arial" w:hAnsi="Arial" w:cs="Arial"/>
                <w:sz w:val="20"/>
                <w:szCs w:val="20"/>
              </w:rPr>
            </w:pPr>
            <w:r>
              <w:rPr>
                <w:rFonts w:ascii="Arial" w:hAnsi="Arial" w:cs="Arial"/>
                <w:sz w:val="20"/>
                <w:szCs w:val="20"/>
              </w:rPr>
              <w:t>Señal SELL del modelo</w:t>
            </w:r>
          </w:p>
        </w:tc>
      </w:tr>
      <w:tr w:rsidR="001D5956" w:rsidRPr="00C37218" w14:paraId="2A041BF7"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47B3CBD" w14:textId="77777777" w:rsidR="001D5956" w:rsidRPr="00C37218" w:rsidRDefault="00000000">
            <w:pPr>
              <w:rPr>
                <w:rFonts w:ascii="Arial" w:hAnsi="Arial" w:cs="Arial"/>
                <w:sz w:val="20"/>
                <w:szCs w:val="20"/>
              </w:rPr>
            </w:pPr>
            <w:r>
              <w:rPr>
                <w:rFonts w:ascii="Arial" w:hAnsi="Arial" w:cs="Arial"/>
                <w:sz w:val="20"/>
                <w:szCs w:val="20"/>
              </w:rPr>
              <w:t>CAT</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6D5E4F1" w14:textId="77777777" w:rsidR="001D5956" w:rsidRPr="00C37218" w:rsidRDefault="00000000">
            <w:pPr>
              <w:rPr>
                <w:rFonts w:ascii="Arial" w:hAnsi="Arial" w:cs="Arial"/>
                <w:sz w:val="20"/>
                <w:szCs w:val="20"/>
              </w:rPr>
            </w:pPr>
            <w:r>
              <w:rPr>
                <w:rFonts w:ascii="Arial" w:hAnsi="Arial" w:cs="Arial"/>
                <w:sz w:val="20"/>
                <w:szCs w:val="20"/>
              </w:rPr>
              <w:t>Caterpillar</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6BCD9ED" w14:textId="77777777" w:rsidR="001D5956" w:rsidRPr="00C37218" w:rsidRDefault="00000000">
            <w:pPr>
              <w:rPr>
                <w:rFonts w:ascii="Arial" w:hAnsi="Arial" w:cs="Arial"/>
                <w:sz w:val="20"/>
                <w:szCs w:val="20"/>
              </w:rPr>
            </w:pPr>
            <w:r>
              <w:rPr>
                <w:rFonts w:ascii="Arial" w:hAnsi="Arial" w:cs="Arial"/>
                <w:sz w:val="20"/>
                <w:szCs w:val="20"/>
              </w:rPr>
              <w:t>Short</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760133E8" w14:textId="77777777" w:rsidR="001D5956" w:rsidRPr="00C37218" w:rsidRDefault="00000000">
            <w:pPr>
              <w:rPr>
                <w:rFonts w:ascii="Arial" w:hAnsi="Arial" w:cs="Arial"/>
                <w:sz w:val="20"/>
                <w:szCs w:val="20"/>
              </w:rPr>
            </w:pPr>
            <w:r>
              <w:rPr>
                <w:rFonts w:ascii="Arial" w:hAnsi="Arial" w:cs="Arial"/>
                <w:sz w:val="20"/>
                <w:szCs w:val="20"/>
              </w:rPr>
              <w:t>3000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731512E" w14:textId="77777777" w:rsidR="001D5956" w:rsidRPr="00C37218" w:rsidRDefault="00000000">
            <w:pPr>
              <w:rPr>
                <w:rFonts w:ascii="Arial" w:hAnsi="Arial" w:cs="Arial"/>
                <w:sz w:val="20"/>
                <w:szCs w:val="20"/>
              </w:rPr>
            </w:pPr>
            <w:r>
              <w:rPr>
                <w:rFonts w:ascii="Arial" w:hAnsi="Arial" w:cs="Arial"/>
                <w:sz w:val="20"/>
                <w:szCs w:val="20"/>
              </w:rPr>
              <w:t>Momentum bajista</w:t>
            </w:r>
          </w:p>
        </w:tc>
      </w:tr>
      <w:tr w:rsidR="001D5956" w:rsidRPr="00C37218" w14:paraId="284F0918" w14:textId="77777777" w:rsidTr="00C37218">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7AB1ACCB" w14:textId="77777777" w:rsidR="001D5956" w:rsidRPr="00C37218" w:rsidRDefault="00000000">
            <w:pPr>
              <w:rPr>
                <w:rFonts w:ascii="Arial" w:hAnsi="Arial" w:cs="Arial"/>
                <w:sz w:val="20"/>
                <w:szCs w:val="20"/>
              </w:rPr>
            </w:pPr>
            <w:r>
              <w:rPr>
                <w:rFonts w:ascii="Arial" w:hAnsi="Arial" w:cs="Arial"/>
                <w:sz w:val="20"/>
                <w:szCs w:val="20"/>
              </w:rPr>
              <w:t>HON</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0D3ECE54" w14:textId="77777777" w:rsidR="001D5956" w:rsidRPr="00C37218" w:rsidRDefault="00000000">
            <w:pPr>
              <w:rPr>
                <w:rFonts w:ascii="Arial" w:hAnsi="Arial" w:cs="Arial"/>
                <w:sz w:val="20"/>
                <w:szCs w:val="20"/>
              </w:rPr>
            </w:pPr>
            <w:r>
              <w:rPr>
                <w:rFonts w:ascii="Arial" w:hAnsi="Arial" w:cs="Arial"/>
                <w:sz w:val="20"/>
                <w:szCs w:val="20"/>
              </w:rPr>
              <w:t>Honeywell</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D7E1341" w14:textId="77777777" w:rsidR="001D5956" w:rsidRPr="00C37218" w:rsidRDefault="00000000">
            <w:pPr>
              <w:rPr>
                <w:rFonts w:ascii="Arial" w:hAnsi="Arial" w:cs="Arial"/>
                <w:sz w:val="20"/>
                <w:szCs w:val="20"/>
              </w:rPr>
            </w:pPr>
            <w:r>
              <w:rPr>
                <w:rFonts w:ascii="Arial" w:hAnsi="Arial" w:cs="Arial"/>
                <w:sz w:val="20"/>
                <w:szCs w:val="20"/>
              </w:rPr>
              <w:t>Short</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28B57AEF" w14:textId="77777777" w:rsidR="001D5956" w:rsidRPr="00C37218" w:rsidRDefault="00000000">
            <w:pPr>
              <w:rPr>
                <w:rFonts w:ascii="Arial" w:hAnsi="Arial" w:cs="Arial"/>
                <w:sz w:val="20"/>
                <w:szCs w:val="20"/>
              </w:rPr>
            </w:pPr>
            <w:r>
              <w:rPr>
                <w:rFonts w:ascii="Arial" w:hAnsi="Arial" w:cs="Arial"/>
                <w:sz w:val="20"/>
                <w:szCs w:val="20"/>
              </w:rPr>
              <w:t>3000</w:t>
            </w:r>
          </w:p>
        </w:tc>
        <w:tc>
          <w:tcPr>
            <w:tcW w:w="1728"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5539DFE4" w14:textId="77777777" w:rsidR="001D5956" w:rsidRPr="00C37218" w:rsidRDefault="00000000">
            <w:pPr>
              <w:rPr>
                <w:rFonts w:ascii="Arial" w:hAnsi="Arial" w:cs="Arial"/>
                <w:sz w:val="20"/>
                <w:szCs w:val="20"/>
              </w:rPr>
            </w:pPr>
            <w:r>
              <w:rPr>
                <w:rFonts w:ascii="Arial" w:hAnsi="Arial" w:cs="Arial"/>
                <w:sz w:val="20"/>
                <w:szCs w:val="20"/>
              </w:rPr>
              <w:t>Debilidad relativa</w:t>
            </w:r>
          </w:p>
        </w:tc>
      </w:tr>
    </w:tbl>
    <w:p w14:paraId="7B1C9A55" w14:textId="77777777" w:rsidR="00CE78D7" w:rsidRDefault="00CE78D7"/>
    <w:p w14:paraId="703ADD80" w14:textId="77777777" w:rsidR="00C37218" w:rsidRDefault="00C37218"/>
    <w:p w14:paraId="03E0A7FD" w14:textId="77777777" w:rsidR="00C37218" w:rsidRDefault="00C37218"/>
    <w:p w14:paraId="7D58A835" w14:textId="77777777" w:rsidR="00C37218" w:rsidRDefault="00C37218"/>
    <w:p w14:paraId="40AE7715" w14:textId="77777777" w:rsidR="00C37218" w:rsidRDefault="00C37218"/>
    <w:p w14:paraId="44C3F408" w14:textId="529C93A3" w:rsidR="00C37218" w:rsidRDefault="00C37218" w:rsidP="00C37218">
      <w:pPr>
        <w:pStyle w:val="Ttulo1"/>
        <w:jc w:val="both"/>
        <w:rPr>
          <w:rFonts w:ascii="Arial" w:hAnsi="Arial" w:cs="Arial"/>
          <w:sz w:val="20"/>
          <w:szCs w:val="20"/>
        </w:rPr>
      </w:pPr>
      <w:r>
        <w:rPr>
          <w:rFonts w:ascii="Arial" w:hAnsi="Arial" w:cs="Arial"/>
          <w:sz w:val="20"/>
          <w:szCs w:val="20"/>
        </w:rPr>
        <w:lastRenderedPageBreak/>
        <w:t>6. Screenshots HowTheMarketWorks</w:t>
      </w:r>
    </w:p>
    <w:p w14:paraId="0B66B4AD" w14:textId="77777777" w:rsidR="00C37218" w:rsidRPr="00C37218" w:rsidRDefault="00C37218" w:rsidP="00C37218"/>
    <w:p w14:paraId="38AE90B5" w14:textId="5E7E3047" w:rsidR="00C37218" w:rsidRDefault="00C37218">
      <w:r>
        <w:rPr>
          <w:noProof/>
        </w:rPr>
        <w:drawing>
          <wp:anchor distT="0" distB="0" distL="114300" distR="114300" simplePos="0" relativeHeight="251657216" behindDoc="0" locked="0" layoutInCell="1" allowOverlap="1" wp14:anchorId="0D28AABE" wp14:editId="7A28B91E">
            <wp:simplePos x="0" y="0"/>
            <wp:positionH relativeFrom="column">
              <wp:posOffset>11002</wp:posOffset>
            </wp:positionH>
            <wp:positionV relativeFrom="paragraph">
              <wp:posOffset>2908069</wp:posOffset>
            </wp:positionV>
            <wp:extent cx="5476620" cy="1083310"/>
            <wp:effectExtent l="0" t="0" r="0" b="2540"/>
            <wp:wrapNone/>
            <wp:docPr id="131610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06948" name=""/>
                    <pic:cNvPicPr/>
                  </pic:nvPicPr>
                  <pic:blipFill>
                    <a:blip r:embed="rId6"/>
                    <a:stretch>
                      <a:fillRect/>
                    </a:stretch>
                  </pic:blipFill>
                  <pic:spPr>
                    <a:xfrm>
                      <a:off x="0" y="0"/>
                      <a:ext cx="5491789" cy="1086311"/>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0984024" wp14:editId="7623FADE">
            <wp:extent cx="5486400" cy="2946400"/>
            <wp:effectExtent l="0" t="0" r="0" b="6350"/>
            <wp:docPr id="191342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3776" name=""/>
                    <pic:cNvPicPr/>
                  </pic:nvPicPr>
                  <pic:blipFill>
                    <a:blip r:embed="rId7"/>
                    <a:stretch>
                      <a:fillRect/>
                    </a:stretch>
                  </pic:blipFill>
                  <pic:spPr>
                    <a:xfrm>
                      <a:off x="0" y="0"/>
                      <a:ext cx="5486400" cy="2946400"/>
                    </a:xfrm>
                    <a:prstGeom prst="rect">
                      <a:avLst/>
                    </a:prstGeom>
                  </pic:spPr>
                </pic:pic>
              </a:graphicData>
            </a:graphic>
          </wp:inline>
        </w:drawing>
      </w:r>
    </w:p>
    <w:p w14:paraId="25ADBD53" w14:textId="0F522C67" w:rsidR="00C37218" w:rsidRDefault="00C37218"/>
    <w:sectPr w:rsidR="00C372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6443754">
    <w:abstractNumId w:val="8"/>
  </w:num>
  <w:num w:numId="2" w16cid:durableId="2032954178">
    <w:abstractNumId w:val="6"/>
  </w:num>
  <w:num w:numId="3" w16cid:durableId="1702705331">
    <w:abstractNumId w:val="5"/>
  </w:num>
  <w:num w:numId="4" w16cid:durableId="1443650433">
    <w:abstractNumId w:val="4"/>
  </w:num>
  <w:num w:numId="5" w16cid:durableId="615403131">
    <w:abstractNumId w:val="7"/>
  </w:num>
  <w:num w:numId="6" w16cid:durableId="366878236">
    <w:abstractNumId w:val="3"/>
  </w:num>
  <w:num w:numId="7" w16cid:durableId="879824404">
    <w:abstractNumId w:val="2"/>
  </w:num>
  <w:num w:numId="8" w16cid:durableId="635915867">
    <w:abstractNumId w:val="1"/>
  </w:num>
  <w:num w:numId="9" w16cid:durableId="209408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956"/>
    <w:rsid w:val="0029639D"/>
    <w:rsid w:val="00326F90"/>
    <w:rsid w:val="003B74A9"/>
    <w:rsid w:val="005E5B69"/>
    <w:rsid w:val="009A1461"/>
    <w:rsid w:val="00AA1D8D"/>
    <w:rsid w:val="00B47730"/>
    <w:rsid w:val="00C37218"/>
    <w:rsid w:val="00CB0664"/>
    <w:rsid w:val="00CE7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899B0"/>
  <w14:defaultImageDpi w14:val="300"/>
  <w15:docId w15:val="{AC26BD1A-B666-40D4-B2C3-6CFA5AE2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 Antonelli Morales Tobias</dc:creator>
  <cp:keywords/>
  <dc:description/>
  <cp:lastModifiedBy>Mariann Antonelli Morales Tobias</cp:lastModifiedBy>
  <cp:revision>2</cp:revision>
  <dcterms:created xsi:type="dcterms:W3CDTF">2026-03-16T02:34:00Z</dcterms:created>
  <dcterms:modified xsi:type="dcterms:W3CDTF">2026-03-16T02:34:00Z</dcterms:modified>
  <cp:category/>
</cp:coreProperties>
</file>