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Identificación de llaves en un 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Aplicando las reglas de traslado de MER a MR, define el Modelo Relacional para el siguiente Modelo Entidad Relación, posteriormente determinar las llaves primarias, foráneas y alternas que existen en cada relación, basándose en la lectura de "Conceptos básicos del modelo relacional". La convención utilizada para identificar las llaves será la siguiente: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Pk  Llave Primaria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Fk  Llave Foránea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Ak  Llave Alterna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374080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3740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20" w:before="220" w:lineRule="auto"/>
        <w:rPr>
          <w:rFonts w:ascii="Roboto" w:cs="Roboto" w:eastAsia="Roboto" w:hAnsi="Roboto"/>
          <w:b w:val="1"/>
          <w:color w:val="38761d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Aplicando las reglas de traslado de MER a MR, define el Modelo Relacional para el siguiente Modelo Entidad Relación, posteriormente determina las llaves primarias, foráneas y alternas que existen en cada relación, basándose en la lectura de "Conceptos básicos del modelo relacional". La convención utilizada para identificar las llaves será la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20" w:before="220" w:lineRule="auto"/>
        <w:ind w:left="720" w:hanging="360"/>
        <w:rPr>
          <w:b w:val="1"/>
          <w:color w:val="1155cc"/>
        </w:rPr>
      </w:pPr>
      <w:r w:rsidDel="00000000" w:rsidR="00000000" w:rsidRPr="00000000">
        <w:rPr>
          <w:rFonts w:ascii="Roboto" w:cs="Roboto" w:eastAsia="Roboto" w:hAnsi="Roboto"/>
          <w:b w:val="1"/>
          <w:color w:val="1155cc"/>
          <w:sz w:val="23"/>
          <w:szCs w:val="23"/>
          <w:rtl w:val="0"/>
        </w:rPr>
        <w:t xml:space="preserve"> Ak  Llave Alterna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Cliente(</w:t>
      </w:r>
      <w:r w:rsidDel="00000000" w:rsidR="00000000" w:rsidRPr="00000000">
        <w:rPr>
          <w:b w:val="1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, RazonSocial, Domicilio)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(</w:t>
      </w:r>
      <w:r w:rsidDel="00000000" w:rsidR="00000000" w:rsidRPr="00000000">
        <w:rPr>
          <w:b w:val="1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(RazonSocial, Domicilio)</w:t>
      </w:r>
    </w:p>
    <w:p w:rsidR="00000000" w:rsidDel="00000000" w:rsidP="00000000" w:rsidRDefault="00000000" w:rsidRPr="00000000" w14:paraId="0000001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 - NO TIENE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Facturas(NoFac,Fecha, Status, </w:t>
      </w:r>
      <w:r w:rsidDel="00000000" w:rsidR="00000000" w:rsidRPr="00000000">
        <w:rPr>
          <w:b w:val="1"/>
          <w:color w:val="38761d"/>
          <w:rtl w:val="0"/>
        </w:rPr>
        <w:t xml:space="preserve">RFCC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(NoFac)</w:t>
      </w:r>
    </w:p>
    <w:p w:rsidR="00000000" w:rsidDel="00000000" w:rsidP="00000000" w:rsidRDefault="00000000" w:rsidRPr="00000000" w14:paraId="0000001A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(NoFact,Fecha)</w:t>
      </w:r>
    </w:p>
    <w:p w:rsidR="00000000" w:rsidDel="00000000" w:rsidP="00000000" w:rsidRDefault="00000000" w:rsidRPr="00000000" w14:paraId="0000001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 - (RFCC) references Cliente (RFCC)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Productos (CBarras, Nombre, Descripcion, Precio, Existencia)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PK(CBarras)</w:t>
      </w:r>
    </w:p>
    <w:p w:rsidR="00000000" w:rsidDel="00000000" w:rsidP="00000000" w:rsidRDefault="00000000" w:rsidRPr="00000000" w14:paraId="0000001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AK(CBarras, Nombre)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FK - (RFCC) Referencia a Cliente (RFCC)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 (</w:t>
      </w:r>
      <w:r w:rsidDel="00000000" w:rsidR="00000000" w:rsidRPr="00000000">
        <w:rPr>
          <w:b w:val="1"/>
          <w:color w:val="38761d"/>
          <w:rtl w:val="0"/>
        </w:rPr>
        <w:t xml:space="preserve">NoFac, CBarras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b w:val="1"/>
          <w:color w:val="741b47"/>
          <w:rtl w:val="0"/>
        </w:rPr>
        <w:t xml:space="preserve">PrecioV</w:t>
      </w:r>
      <w:r w:rsidDel="00000000" w:rsidR="00000000" w:rsidRPr="00000000">
        <w:rPr>
          <w:b w:val="1"/>
          <w:rtl w:val="0"/>
        </w:rPr>
        <w:t xml:space="preserve">, Cantidad)  </w:t>
      </w:r>
      <w:r w:rsidDel="00000000" w:rsidR="00000000" w:rsidRPr="00000000">
        <w:rPr>
          <w:b w:val="1"/>
          <w:i w:val="1"/>
          <w:color w:val="741b47"/>
          <w:rtl w:val="0"/>
        </w:rPr>
        <w:t xml:space="preserve">*Precio cuando se vendió el producto.*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 -  (NoFac,CBarras) - Compuesta </w:t>
      </w:r>
      <w:r w:rsidDel="00000000" w:rsidR="00000000" w:rsidRPr="00000000">
        <w:rPr>
          <w:b w:val="1"/>
          <w:i w:val="1"/>
          <w:rtl w:val="0"/>
        </w:rPr>
        <w:t xml:space="preserve">Solo si el número de factura no se repite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 - (NoFac, CBarras, Cantidad)</w:t>
      </w:r>
    </w:p>
    <w:p w:rsidR="00000000" w:rsidDel="00000000" w:rsidP="00000000" w:rsidRDefault="00000000" w:rsidRPr="00000000" w14:paraId="00000025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FK1 - (NoFac) references Factura (NoFac)</w:t>
      </w:r>
    </w:p>
    <w:p w:rsidR="00000000" w:rsidDel="00000000" w:rsidP="00000000" w:rsidRDefault="00000000" w:rsidRPr="00000000" w14:paraId="00000026">
      <w:pPr>
        <w:rPr>
          <w:b w:val="1"/>
          <w:color w:val="1155cc"/>
        </w:rPr>
      </w:pPr>
      <w:r w:rsidDel="00000000" w:rsidR="00000000" w:rsidRPr="00000000">
        <w:rPr>
          <w:b w:val="1"/>
          <w:color w:val="38761d"/>
          <w:rtl w:val="0"/>
        </w:rPr>
        <w:t xml:space="preserve">FK2 - (CBarras) references Producto (CBarras)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Surte(</w:t>
      </w:r>
      <w:r w:rsidDel="00000000" w:rsidR="00000000" w:rsidRPr="00000000">
        <w:rPr>
          <w:b w:val="1"/>
          <w:color w:val="38761d"/>
          <w:rtl w:val="0"/>
        </w:rPr>
        <w:t xml:space="preserve">CBarrasRFCP</w:t>
      </w:r>
      <w:r w:rsidDel="00000000" w:rsidR="00000000" w:rsidRPr="00000000">
        <w:rPr>
          <w:b w:val="1"/>
          <w:rtl w:val="0"/>
        </w:rPr>
        <w:t xml:space="preserve">,Fecha, Cantidad)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PK(CBarras, RFCP, Fecha) - Compuesta</w:t>
      </w:r>
    </w:p>
    <w:p w:rsidR="00000000" w:rsidDel="00000000" w:rsidP="00000000" w:rsidRDefault="00000000" w:rsidRPr="00000000" w14:paraId="0000002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FK1- (RFCP) references Proveedor (RFCP)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color w:val="38761d"/>
          <w:rtl w:val="0"/>
        </w:rPr>
        <w:t xml:space="preserve">FK2- (CBarras) references Productos (CBarras)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Proovedor</w:t>
      </w:r>
      <w:r w:rsidDel="00000000" w:rsidR="00000000" w:rsidRPr="00000000">
        <w:rPr>
          <w:b w:val="1"/>
          <w:rtl w:val="0"/>
        </w:rPr>
        <w:t xml:space="preserve"> (RFCP, RazonSocial, Domicilio, Contacto)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PK(RFCP)</w:t>
      </w:r>
    </w:p>
    <w:p w:rsidR="00000000" w:rsidDel="00000000" w:rsidP="00000000" w:rsidRDefault="00000000" w:rsidRPr="00000000" w14:paraId="0000002F">
      <w:pPr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AK(RFCP,Domicilio, Contacto)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2: Expresión de consultas en álgebra relacional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Convenio: para evitar las letras griegas originales del Álgebra relacional y simplificar la escritura en computadora utiliza la siguiente notación: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SL {condición}: selección con el criterio condición.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 {lista de campos}: proyección de lista de campos.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JN: reunión natural (natural join).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JN {condición}: reunión con el criterio condición (teta join).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UN: unión.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IN: intersección.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DI: diferencia.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73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Equivale 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PR{Nombre,Carrera,Salón}(SL{Plan=95}(alumnos) JN inscripciones JN SL{Semestre=EneMay2000}(cursos))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Pdescripcion(Sclave&gt;2000 and Precio =&lt; 1000 Materiales)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Plantea expresiones en Álgebra relacional para las siguientes consultas: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La descripción de los materiales con claves mayores a 2000 y precios menores a 100.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La descripción de los materiales que han sido entregados para el proyecto "Aguascalientes".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La razón social de los proveedores que han entregado cantidades mayores a 100 del artículo con clave 1000.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El RFC de los proveedores que han entregado "Varilla 3/4" a los proyectos tanto a "Mérida" como a "San Luis".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Denominación de los proyectos, descripción de los materiales y razón social de los proveedores con entregas durante el año de 1997.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2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- Títulos de películas en las que ha actuado Sharon Stone.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- Nombre e importe de ventas de los productores que han producido películas en las que ha actuado Tom Cruise.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- Dirección de los estudios en los que se han filmado películas con más de tres horas de duración en las que han actuado Salma Hayek o Antonio Banderas.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- Nombre de todo el elenco que participo en la película "Los enamorados" que fue producida por el estudio "Warner" de sexo femenino.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2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- El director de la compañía te pide un reporte con la Dirección, teléfono y sexo del actor que colaboró con los estudios con dirección "Epigmenio" y "La gran manzana" cuyo dicho estudio realizó películas tanto en el año 1999 y 2010.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