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2"/>
        </w:rPr>
        <w:t>Aprendizaje ensemble interpretable para la clasificacion multiclase de la progresion del cancer colorrectal mediante biomarcadores lipidomicos</w:t>
      </w:r>
    </w:p>
    <w:p/>
    <w:p>
      <w:pPr>
        <w:jc w:val="center"/>
      </w:pPr>
      <w:r>
        <w:rPr>
          <w:sz w:val="24"/>
        </w:rPr>
        <w:t>Maria Virginia Mendizabal Miranda (1), Gianmel Joannelly Hernandez Tosta (1), Sofia Ordaz Lopez (1)</w:t>
      </w:r>
    </w:p>
    <w:p/>
    <w:p>
      <w:pPr>
        <w:jc w:val="center"/>
      </w:pPr>
      <w:r>
        <w:rPr>
          <w:i/>
          <w:sz w:val="22"/>
        </w:rPr>
        <w:t>(1) Tecnologico de Monterrey, Escuela de Ingenieria y Ciencias, Mexico</w:t>
      </w:r>
    </w:p>
    <w:p/>
    <w:p>
      <w:pPr>
        <w:jc w:val="center"/>
      </w:pPr>
      <w:r>
        <w:rPr>
          <w:sz w:val="22"/>
        </w:rPr>
        <w:t>Autor de correspondencia: [nombre], [email], [telefono]</w:t>
      </w:r>
    </w:p>
    <w:p>
      <w:r>
        <w:br w:type="page"/>
      </w:r>
    </w:p>
    <w:p>
      <w:pPr>
        <w:spacing w:before="360" w:after="120"/>
        <w:jc w:val="left"/>
      </w:pPr>
      <w:r>
        <w:rPr>
          <w:rFonts w:ascii="Times New Roman" w:hAnsi="Times New Roman"/>
          <w:b/>
          <w:sz w:val="28"/>
        </w:rPr>
        <w:t>Resumen</w:t>
      </w:r>
    </w:p>
    <w:p>
      <w:r>
        <w:rPr>
          <w:rFonts w:ascii="Times New Roman" w:hAnsi="Times New Roman"/>
          <w:b/>
        </w:rPr>
        <w:t xml:space="preserve">Contexto y Objetivos: </w:t>
      </w:r>
      <w:r>
        <w:rPr>
          <w:rFonts w:ascii="Times New Roman" w:hAnsi="Times New Roman"/>
        </w:rPr>
        <w:t>El cancer colorrectal (CCR) es la tercera neoplasia mas frecuente a nivel mundial y la segunda causa de muerte por cancer. Las pruebas de tamizaje actuales, como la prueba inmunoquimica fecal (FIT), presentan sensibilidad limitada para la deteccion de adenomas avanzados (AA), lesiones precancerosas cuya remocion oportuna previene la progresion a carcinoma. Los metodos quimiometricos convencionales (PLS-DA) aplicados a datos lipidomicos no logran discriminar la clase AA en esquemas multiclase. El objetivo de este estudio fue desarrollar y evaluar un pipeline de aprendizaje automatico basado en ensembles de arboles de decision para la clasificacion tripartita (Control/AA/CCR) utilizando biomarcadores lipidomicos sericos.</w:t>
      </w:r>
    </w:p>
    <w:p>
      <w:r>
        <w:rPr>
          <w:rFonts w:ascii="Times New Roman" w:hAnsi="Times New Roman"/>
          <w:b/>
        </w:rPr>
        <w:t xml:space="preserve">Metodos: </w:t>
      </w:r>
      <w:r>
        <w:rPr>
          <w:rFonts w:ascii="Times New Roman" w:hAnsi="Times New Roman"/>
        </w:rPr>
        <w:t>Se utilizo una cohorte de 211 pacientes (78 controles, 58 AA, 75 CCR) con 127 lipidos cuantificados por UHPLC-MS. El pipeline de preprocesamiento incluyo imputacion por mediana de grupo (validada contra MICE mediante norma de Frobenius), transformacion Box-Cox y seleccion de caracteristicas por interseccion de Informacion Mutua y ANOVA (16 variables finales). Se compararon 14 modelos: 6 clasificadores individuales y 8 ensembles (5 homogeneos, 2 heterogeneos, 1 individual de referencia). La evaluacion se realizo mediante validacion cruzada estratificada de 5 particiones y conjunto held-out independiente (n=43).</w:t>
      </w:r>
    </w:p>
    <w:p>
      <w:r>
        <w:rPr>
          <w:rFonts w:ascii="Times New Roman" w:hAnsi="Times New Roman"/>
          <w:b/>
        </w:rPr>
        <w:t xml:space="preserve">Resultados: </w:t>
      </w:r>
      <w:r>
        <w:rPr>
          <w:rFonts w:ascii="Times New Roman" w:hAnsi="Times New Roman"/>
        </w:rPr>
        <w:t>El modelo Bagging Tree alcanzo F1 macro = 0.855 y AUC macro = 0.945 en el conjunto held-out. La deteccion de adenomas avanzados logro F1 = 0.78 y recall = 0.75, frente a F1 = 0 reportado para PLS-DA en la misma cohorte. La precision en controles sanos fue de 1.00, minimizando falsos positivos. El biomarcador CE(20:5) (ester de colesterol con acido eicosapentaenoico) se identifico como la variable mas discriminativa (importancia = 0.137). Un analisis complementario demostro que 15 variables del conjunto completo conservan el mismo recall de AA (0.833), reduciendo la dimensionalidad en un 89%.</w:t>
      </w:r>
    </w:p>
    <w:p>
      <w:r>
        <w:rPr>
          <w:rFonts w:ascii="Times New Roman" w:hAnsi="Times New Roman"/>
          <w:b/>
        </w:rPr>
        <w:t xml:space="preserve">Conclusiones: </w:t>
      </w:r>
      <w:r>
        <w:rPr>
          <w:rFonts w:ascii="Times New Roman" w:hAnsi="Times New Roman"/>
        </w:rPr>
        <w:t>Los perfiles lipidomicos analizados mediante ensembles de arboles de decision permiten la clasificacion efectiva de los tres estados de progresion del CCR, incluyendo la deteccion de adenomas avanzados donde los metodos quimiometricos convencionales fracasan. Los resultados sugieren que un panel lipidomico reducido complementa la prueba FIT para el tamizaje no invasivo del CCR, aunque se requiere validacion externa multicentrica antes de su implementacion clinica.</w:t>
      </w:r>
    </w:p>
    <w:p/>
    <w:p>
      <w:r>
        <w:rPr>
          <w:rFonts w:ascii="Times New Roman" w:hAnsi="Times New Roman"/>
          <w:b/>
        </w:rPr>
        <w:t xml:space="preserve">Palabras clave: </w:t>
      </w:r>
      <w:r>
        <w:rPr>
          <w:rFonts w:ascii="Times New Roman" w:hAnsi="Times New Roman"/>
        </w:rPr>
        <w:t>cancer colorrectal; lipidomica; aprendizaje automatico; metodos ensemble; descubrimiento de biomarcadores; deteccion de adenomas; arboles de decision</w:t>
      </w:r>
    </w:p>
    <w:p>
      <w:r>
        <w:br w:type="page"/>
      </w:r>
    </w:p>
    <w:p>
      <w:pPr>
        <w:spacing w:before="360" w:after="120"/>
        <w:jc w:val="left"/>
      </w:pPr>
      <w:r>
        <w:rPr>
          <w:rFonts w:ascii="Times New Roman" w:hAnsi="Times New Roman"/>
          <w:b/>
          <w:sz w:val="28"/>
        </w:rPr>
        <w:t>1. Introduccion</w:t>
      </w:r>
    </w:p>
    <w:p>
      <w:pPr>
        <w:ind w:firstLine="720"/>
        <w:jc w:val="both"/>
      </w:pPr>
      <w:r>
        <w:rPr>
          <w:rFonts w:ascii="Times New Roman" w:hAnsi="Times New Roman"/>
          <w:sz w:val="24"/>
        </w:rPr>
        <w:t>El cancer colorrectal (CCR) representa la tercera neoplasia mas diagnosticada y la segunda causa de mortalidad por cancer a nivel mundial, con aproximadamente 1.9 millones de nuevos casos y 935,000 muertes anuales [1]. La progresion del CCR sigue una secuencia bien caracterizada: mucosa normal, adenoma, adenoma avanzado (AA) y carcinoma invasivo, conocida como la secuencia adenoma-carcinoma [2]. Esta progresion ofrece una ventana critica de intervencion: la deteccion y remocion de adenomas avanzados mediante polipectomia endoscopica puede prevenir hasta el 80% de los casos de CCR [3].</w:t>
      </w:r>
    </w:p>
    <w:p>
      <w:pPr>
        <w:ind w:firstLine="720"/>
        <w:jc w:val="both"/>
      </w:pPr>
      <w:r>
        <w:rPr>
          <w:rFonts w:ascii="Times New Roman" w:hAnsi="Times New Roman"/>
          <w:sz w:val="24"/>
        </w:rPr>
        <w:t>Las estrategias actuales de tamizaje poblacional se basan principalmente en la prueba inmunoquimica fecal (FIT), que detecta hemoglobina humana en heces como indicador de sangrado en el tracto digestivo. Aunque el FIT presenta buena especificidad para CCR confirmado, su sensibilidad para adenomas avanzados es limitada, oscilando entre el 20% y el 50% segun la concentracion utilizada como umbral de positividad [4]. Los resultados positivos del FIT requieren confirmacion mediante colonoscopia, un procedimiento invasivo, costoso y con disponibilidad limitada en sistemas de salud con recursos restringidos [5].</w:t>
      </w:r>
    </w:p>
    <w:p>
      <w:pPr>
        <w:ind w:firstLine="720"/>
        <w:jc w:val="both"/>
      </w:pPr>
      <w:r>
        <w:rPr>
          <w:rFonts w:ascii="Times New Roman" w:hAnsi="Times New Roman"/>
          <w:sz w:val="24"/>
        </w:rPr>
        <w:t>En este contexto, la lipidomica emerge como una herramienta prometedora para el descubrimiento de biomarcadores no invasivos. Los perfiles lipidomicos sericos reflejan alteraciones metabolicas asociadas a la carcinogenesis colorrectal, incluyendo cambios en el metabolismo de esfingolipidos, glicerofosfolipidos y esteres de colesterol [6,7]. Estudios recientes han demostrado que la combinacion de perfiles metabolomicos con la prueba FIT mejora significativamente la capacidad discriminatoria para neoplasias colorrectales avanzadas [8].</w:t>
      </w:r>
    </w:p>
    <w:p>
      <w:pPr>
        <w:ind w:firstLine="720"/>
        <w:jc w:val="both"/>
      </w:pPr>
      <w:r>
        <w:rPr>
          <w:rFonts w:ascii="Times New Roman" w:hAnsi="Times New Roman"/>
          <w:sz w:val="24"/>
        </w:rPr>
        <w:t>Sin embargo, los enfoques quimiometricos convencionales presentan limitaciones importantes en contextos multiclase. Alboniga et al. [8] aplicaron analisis discriminante por minimos cuadrados parciales (PLS-DA) a datos lipidomicos de una cohorte de 211 pacientes del Hospital de Ourense, logrando buena discriminacion entre controles sanos y CCR confirmado, pero con incapacidad total para detectar adenomas avanzados (F1 = 0 para la clase AA). Esta limitacion es clinicamente critica, ya que los AA constituyen precisamente la ventana de intervencion preventiva mas valiosa.</w:t>
      </w:r>
    </w:p>
    <w:p>
      <w:pPr>
        <w:ind w:firstLine="720"/>
        <w:jc w:val="both"/>
      </w:pPr>
      <w:r>
        <w:rPr>
          <w:rFonts w:ascii="Times New Roman" w:hAnsi="Times New Roman"/>
          <w:sz w:val="24"/>
        </w:rPr>
        <w:t>Los metodos de aprendizaje automatico (machine learning), particularmente los ensembles de arboles de decision, ofrecen ventajas sobre los enfoques quimiometricos lineales para este tipo de problemas: capturan interacciones no lineales entre variables, manejan naturalmente el desbalance de clases y proporcionan mecanismos de interpretabilidad mediante la importancia de variables [9,10]. No obstante, su aplicacion a la clasificacion multiclase de la progresion del CCR utilizando biomarcadores lipidomicos ha sido escasamente explorada.</w:t>
      </w:r>
    </w:p>
    <w:p>
      <w:pPr>
        <w:ind w:firstLine="720"/>
        <w:jc w:val="both"/>
      </w:pPr>
      <w:r>
        <w:rPr>
          <w:rFonts w:ascii="Times New Roman" w:hAnsi="Times New Roman"/>
          <w:sz w:val="24"/>
        </w:rPr>
        <w:t>El presente estudio aborda esta brecha mediante el desarrollo de un pipeline completo de aprendizaje automatico, siguiendo el marco metodologico CRISP-ML(Q) [11], para la clasificacion tripartita (Control/AA/CCR) a partir de biomarcadores lipidomicos sericos. Los objetivos especificos son: (1) construir un clasificador multiclase capaz de detectar adenomas avanzados con rendimiento superior al PLS-DA de referencia; (2) identificar un panel reducido de biomarcadores lipidomicos con capacidad discriminatoria y plausibilidad biologica; y (3) evaluar la complementariedad entre los biomarcadores lipidomicos y las pruebas clinicas estandar (FIT, sangre oculta en heces).</w:t>
      </w:r>
    </w:p>
    <w:p>
      <w:pPr>
        <w:spacing w:before="360" w:after="120"/>
        <w:jc w:val="left"/>
      </w:pPr>
      <w:r>
        <w:rPr>
          <w:rFonts w:ascii="Times New Roman" w:hAnsi="Times New Roman"/>
          <w:b/>
          <w:sz w:val="28"/>
        </w:rPr>
        <w:t>2. Trabajos Relacionados</w:t>
      </w:r>
    </w:p>
    <w:p>
      <w:pPr>
        <w:ind w:firstLine="720"/>
        <w:jc w:val="both"/>
      </w:pPr>
      <w:r>
        <w:rPr>
          <w:rFonts w:ascii="Times New Roman" w:hAnsi="Times New Roman"/>
          <w:sz w:val="24"/>
        </w:rPr>
        <w:t>La aplicacion de tecnicas de aprendizaje automatico al diagnostico del CCR ha ganado atencion significativa en la ultima decada. Los enfoques pueden clasificarse segun el tipo de datos utilizados: imagenes histopatologicas [12], datos genomicos y transcriptomicos [13], metabolomica y lipidomica [6,7,8], y datos clinicos y demograficos [14].</w:t>
      </w:r>
    </w:p>
    <w:p>
      <w:pPr>
        <w:ind w:firstLine="720"/>
        <w:jc w:val="both"/>
      </w:pPr>
      <w:r>
        <w:rPr>
          <w:rFonts w:ascii="Times New Roman" w:hAnsi="Times New Roman"/>
          <w:sz w:val="24"/>
        </w:rPr>
        <w:t>En el ambito de la metabolomica aplicada al CCR, varios estudios han empleado tecnicas de clasificacion supervisada. Nishiumi et al. [15] utilizaron Random Forest con metabolitos sericos para discriminar pacientes con CCR de controles sanos, alcanzando un AUC de 0.91 en validacion. Farshidfar et al. [16] aplicaron analisis multivariado a perfiles metabolomicos para clasificar estadios del CCR, demostrando que los metabolitos sericos reflejan la progresion tumoral. Sin embargo, la mayoria de estos estudios se limitan a comparaciones binarias (cancer vs. control), sin abordar la deteccion de lesiones precancerosas como los adenomas avanzados.</w:t>
      </w:r>
    </w:p>
    <w:p>
      <w:pPr>
        <w:ind w:firstLine="720"/>
        <w:jc w:val="both"/>
      </w:pPr>
      <w:r>
        <w:rPr>
          <w:rFonts w:ascii="Times New Roman" w:hAnsi="Times New Roman"/>
          <w:sz w:val="24"/>
        </w:rPr>
        <w:t>Especificamente en lipidomica, Ecker et al. [6] identificaron alteraciones en los perfiles de fosfolipidos y esfingomielinas asociadas al CCR, sugiriendo que la remodelacion lipidica es un evento temprano en la carcinogenesis colorrectal. Mas recientemente, Alboniga et al. [8] realizaron un estudio comprehensivo utilizando UHPLC-MS para cuantificar 127 lipidos sericos en una cohorte de 211 pacientes (78 controles, 58 AA, 75 CCR) del Hospital de Ourense (Galicia, Espana). Aplicaron PLS-DA como metodo quimiometrico estandar, logrando buena separacion binaria (CCR vs. CTRL) pero fracasando en la clasificacion multiclase: ningun adenoma avanzado fue clasificado correctamente (F1 AA = 0). Los autores tambien reportaron que un Random Forest en comparaciones binarias alcanzo AUC de 0.84 con 16 metabolitos, pero no evaluaron el desempeno multiclase de este modelo.</w:t>
      </w:r>
    </w:p>
    <w:p>
      <w:pPr>
        <w:ind w:firstLine="720"/>
        <w:jc w:val="both"/>
      </w:pPr>
      <w:r>
        <w:rPr>
          <w:rFonts w:ascii="Times New Roman" w:hAnsi="Times New Roman"/>
          <w:sz w:val="24"/>
        </w:rPr>
        <w:t>Esta brecha en la deteccion multiclase de AA constituye la motivacion central del presente trabajo. A diferencia de los estudios previos, nuestro enfoque: (a) formula el problema explicitamente como clasificacion tripartita (CTRL/AA/CCR); (b) emplea un pipeline sistematico de preprocesamiento con validacion cuantitativa de cada decision; (c) compara 14 modelos incluyendo 8 ensembles; y (d) prioriza la deteccion de AA como metrica clinica principal.</w:t>
      </w:r>
    </w:p>
    <w:p>
      <w:pPr>
        <w:spacing w:before="360" w:after="120"/>
        <w:jc w:val="left"/>
      </w:pPr>
      <w:r>
        <w:rPr>
          <w:rFonts w:ascii="Times New Roman" w:hAnsi="Times New Roman"/>
          <w:b/>
          <w:sz w:val="28"/>
        </w:rPr>
        <w:t>3. Materiales y Metodos</w:t>
      </w:r>
    </w:p>
    <w:p>
      <w:pPr>
        <w:spacing w:before="240" w:after="80"/>
        <w:jc w:val="left"/>
      </w:pPr>
      <w:r>
        <w:rPr>
          <w:rFonts w:ascii="Times New Roman" w:hAnsi="Times New Roman"/>
          <w:b/>
          <w:sz w:val="24"/>
        </w:rPr>
        <w:t>3.1 Conjunto de datos</w:t>
      </w:r>
    </w:p>
    <w:p>
      <w:pPr>
        <w:ind w:firstLine="720"/>
        <w:jc w:val="both"/>
      </w:pPr>
      <w:r>
        <w:rPr>
          <w:rFonts w:ascii="Times New Roman" w:hAnsi="Times New Roman"/>
          <w:sz w:val="24"/>
        </w:rPr>
        <w:t>Se utilizo el conjunto de datos lipidomicos publicado por Alboniga et al. [8], compuesto por 211 muestras de suero sanguineo de pacientes del programa de tamizaje de CCR del Hospital de Ourense (Galicia, Espana). Las muestras fueron analizadas mediante cromatografia liquida de ultra-alto rendimiento acoplada a espectrometria de masas (UHPLC-MS), cuantificando 127 lipidos pertenecientes a las familias de esfingolipidos, esteroles, glicerofosfolipidos y glicerolipidos.</w:t>
      </w:r>
    </w:p>
    <w:p>
      <w:pPr>
        <w:ind w:firstLine="720"/>
        <w:jc w:val="both"/>
      </w:pPr>
      <w:r>
        <w:rPr>
          <w:rFonts w:ascii="Times New Roman" w:hAnsi="Times New Roman"/>
          <w:sz w:val="24"/>
        </w:rPr>
        <w:t>La distribucion de clases fue: 78 controles sanos (CTRL, 37.0%), 58 adenomas avanzados (AA, 27.5%) y 75 casos de cancer colorrectal confirmado (CCR, 35.5%). Adicionalmente, se registraron variables clinicas: edad, resultado de la prueba FIT (concentracion de hemoglobina fecal en microg/g), prueba de sangre oculta en heces (FOB, categorica: si/no) y genero.</w:t>
      </w:r>
    </w:p>
    <w:p>
      <w:pPr>
        <w:spacing w:before="240"/>
        <w:jc w:val="left"/>
      </w:pPr>
      <w:r>
        <w:rPr>
          <w:rFonts w:ascii="Times New Roman" w:hAnsi="Times New Roman"/>
          <w:b/>
          <w:sz w:val="20"/>
        </w:rPr>
        <w:t>Tabla 1. Variables del conjunto de datos.</w:t>
      </w:r>
    </w:p>
    <w:tbl>
      <w:tblPr>
        <w:tblStyle w:val="LightGrid-Accent1"/>
        <w:tblW w:type="auto" w:w="0"/>
        <w:jc w:val="center"/>
        <w:tblLook w:firstColumn="1" w:firstRow="1" w:lastColumn="0" w:lastRow="0" w:noHBand="0" w:noVBand="1" w:val="04A0"/>
      </w:tblPr>
      <w:tblGrid>
        <w:gridCol w:w="2946"/>
        <w:gridCol w:w="2946"/>
        <w:gridCol w:w="2946"/>
      </w:tblGrid>
      <w:tr>
        <w:tc>
          <w:tcPr>
            <w:tcW w:type="dxa" w:w="2946"/>
          </w:tcPr>
          <w:p>
            <w:r>
              <w:rPr>
                <w:rFonts w:ascii="Times New Roman" w:hAnsi="Times New Roman"/>
                <w:b/>
                <w:sz w:val="20"/>
              </w:rPr>
              <w:t>Variable</w:t>
            </w:r>
          </w:p>
        </w:tc>
        <w:tc>
          <w:tcPr>
            <w:tcW w:type="dxa" w:w="2946"/>
          </w:tcPr>
          <w:p>
            <w:r>
              <w:rPr>
                <w:rFonts w:ascii="Times New Roman" w:hAnsi="Times New Roman"/>
                <w:b/>
                <w:sz w:val="20"/>
              </w:rPr>
              <w:t>Tipo</w:t>
            </w:r>
          </w:p>
        </w:tc>
        <w:tc>
          <w:tcPr>
            <w:tcW w:type="dxa" w:w="2946"/>
          </w:tcPr>
          <w:p>
            <w:r>
              <w:rPr>
                <w:rFonts w:ascii="Times New Roman" w:hAnsi="Times New Roman"/>
                <w:b/>
                <w:sz w:val="20"/>
              </w:rPr>
              <w:t>Descripcion</w:t>
            </w:r>
          </w:p>
        </w:tc>
      </w:tr>
      <w:tr>
        <w:tc>
          <w:tcPr>
            <w:tcW w:type="dxa" w:w="2946"/>
          </w:tcPr>
          <w:p>
            <w:r>
              <w:rPr>
                <w:rFonts w:ascii="Times New Roman" w:hAnsi="Times New Roman"/>
                <w:sz w:val="20"/>
              </w:rPr>
              <w:t>127 lipidos</w:t>
            </w:r>
          </w:p>
        </w:tc>
        <w:tc>
          <w:tcPr>
            <w:tcW w:type="dxa" w:w="2946"/>
          </w:tcPr>
          <w:p>
            <w:r>
              <w:rPr>
                <w:rFonts w:ascii="Times New Roman" w:hAnsi="Times New Roman"/>
                <w:sz w:val="20"/>
              </w:rPr>
              <w:t>Continua</w:t>
            </w:r>
          </w:p>
        </w:tc>
        <w:tc>
          <w:tcPr>
            <w:tcW w:type="dxa" w:w="2946"/>
          </w:tcPr>
          <w:p>
            <w:r>
              <w:rPr>
                <w:rFonts w:ascii="Times New Roman" w:hAnsi="Times New Roman"/>
                <w:sz w:val="20"/>
              </w:rPr>
              <w:t>Concentraciones de lipidos sericos por UHPLC-MS</w:t>
            </w:r>
          </w:p>
        </w:tc>
      </w:tr>
      <w:tr>
        <w:tc>
          <w:tcPr>
            <w:tcW w:type="dxa" w:w="2946"/>
          </w:tcPr>
          <w:p>
            <w:r>
              <w:rPr>
                <w:rFonts w:ascii="Times New Roman" w:hAnsi="Times New Roman"/>
                <w:sz w:val="20"/>
              </w:rPr>
              <w:t>Edad</w:t>
            </w:r>
          </w:p>
        </w:tc>
        <w:tc>
          <w:tcPr>
            <w:tcW w:type="dxa" w:w="2946"/>
          </w:tcPr>
          <w:p>
            <w:r>
              <w:rPr>
                <w:rFonts w:ascii="Times New Roman" w:hAnsi="Times New Roman"/>
                <w:sz w:val="20"/>
              </w:rPr>
              <w:t>Continua</w:t>
            </w:r>
          </w:p>
        </w:tc>
        <w:tc>
          <w:tcPr>
            <w:tcW w:type="dxa" w:w="2946"/>
          </w:tcPr>
          <w:p>
            <w:r>
              <w:rPr>
                <w:rFonts w:ascii="Times New Roman" w:hAnsi="Times New Roman"/>
                <w:sz w:val="20"/>
              </w:rPr>
              <w:t>Edad del paciente en anos</w:t>
            </w:r>
          </w:p>
        </w:tc>
      </w:tr>
      <w:tr>
        <w:tc>
          <w:tcPr>
            <w:tcW w:type="dxa" w:w="2946"/>
          </w:tcPr>
          <w:p>
            <w:r>
              <w:rPr>
                <w:rFonts w:ascii="Times New Roman" w:hAnsi="Times New Roman"/>
                <w:sz w:val="20"/>
              </w:rPr>
              <w:t>FIT (microg/g)</w:t>
            </w:r>
          </w:p>
        </w:tc>
        <w:tc>
          <w:tcPr>
            <w:tcW w:type="dxa" w:w="2946"/>
          </w:tcPr>
          <w:p>
            <w:r>
              <w:rPr>
                <w:rFonts w:ascii="Times New Roman" w:hAnsi="Times New Roman"/>
                <w:sz w:val="20"/>
              </w:rPr>
              <w:t>Continua</w:t>
            </w:r>
          </w:p>
        </w:tc>
        <w:tc>
          <w:tcPr>
            <w:tcW w:type="dxa" w:w="2946"/>
          </w:tcPr>
          <w:p>
            <w:r>
              <w:rPr>
                <w:rFonts w:ascii="Times New Roman" w:hAnsi="Times New Roman"/>
                <w:sz w:val="20"/>
              </w:rPr>
              <w:t>Concentracion de hemoglobina fecal inmunoquimica</w:t>
            </w:r>
          </w:p>
        </w:tc>
      </w:tr>
      <w:tr>
        <w:tc>
          <w:tcPr>
            <w:tcW w:type="dxa" w:w="2946"/>
          </w:tcPr>
          <w:p>
            <w:r>
              <w:rPr>
                <w:rFonts w:ascii="Times New Roman" w:hAnsi="Times New Roman"/>
                <w:sz w:val="20"/>
              </w:rPr>
              <w:t>FOB</w:t>
            </w:r>
          </w:p>
        </w:tc>
        <w:tc>
          <w:tcPr>
            <w:tcW w:type="dxa" w:w="2946"/>
          </w:tcPr>
          <w:p>
            <w:r>
              <w:rPr>
                <w:rFonts w:ascii="Times New Roman" w:hAnsi="Times New Roman"/>
                <w:sz w:val="20"/>
              </w:rPr>
              <w:t>Categorica</w:t>
            </w:r>
          </w:p>
        </w:tc>
        <w:tc>
          <w:tcPr>
            <w:tcW w:type="dxa" w:w="2946"/>
          </w:tcPr>
          <w:p>
            <w:r>
              <w:rPr>
                <w:rFonts w:ascii="Times New Roman" w:hAnsi="Times New Roman"/>
                <w:sz w:val="20"/>
              </w:rPr>
              <w:t>Sangre oculta en heces (Si/No)</w:t>
            </w:r>
          </w:p>
        </w:tc>
      </w:tr>
      <w:tr>
        <w:tc>
          <w:tcPr>
            <w:tcW w:type="dxa" w:w="2946"/>
          </w:tcPr>
          <w:p>
            <w:r>
              <w:rPr>
                <w:rFonts w:ascii="Times New Roman" w:hAnsi="Times New Roman"/>
                <w:sz w:val="20"/>
              </w:rPr>
              <w:t>Genero</w:t>
            </w:r>
          </w:p>
        </w:tc>
        <w:tc>
          <w:tcPr>
            <w:tcW w:type="dxa" w:w="2946"/>
          </w:tcPr>
          <w:p>
            <w:r>
              <w:rPr>
                <w:rFonts w:ascii="Times New Roman" w:hAnsi="Times New Roman"/>
                <w:sz w:val="20"/>
              </w:rPr>
              <w:t>Categorica</w:t>
            </w:r>
          </w:p>
        </w:tc>
        <w:tc>
          <w:tcPr>
            <w:tcW w:type="dxa" w:w="2946"/>
          </w:tcPr>
          <w:p>
            <w:r>
              <w:rPr>
                <w:rFonts w:ascii="Times New Roman" w:hAnsi="Times New Roman"/>
                <w:sz w:val="20"/>
              </w:rPr>
              <w:t>Masculino/Femenino</w:t>
            </w:r>
          </w:p>
        </w:tc>
      </w:tr>
      <w:tr>
        <w:tc>
          <w:tcPr>
            <w:tcW w:type="dxa" w:w="2946"/>
          </w:tcPr>
          <w:p>
            <w:r>
              <w:rPr>
                <w:rFonts w:ascii="Times New Roman" w:hAnsi="Times New Roman"/>
                <w:sz w:val="20"/>
              </w:rPr>
              <w:t>Grupo</w:t>
            </w:r>
          </w:p>
        </w:tc>
        <w:tc>
          <w:tcPr>
            <w:tcW w:type="dxa" w:w="2946"/>
          </w:tcPr>
          <w:p>
            <w:r>
              <w:rPr>
                <w:rFonts w:ascii="Times New Roman" w:hAnsi="Times New Roman"/>
                <w:sz w:val="20"/>
              </w:rPr>
              <w:t>Categorica (objetivo)</w:t>
            </w:r>
          </w:p>
        </w:tc>
        <w:tc>
          <w:tcPr>
            <w:tcW w:type="dxa" w:w="2946"/>
          </w:tcPr>
          <w:p>
            <w:r>
              <w:rPr>
                <w:rFonts w:ascii="Times New Roman" w:hAnsi="Times New Roman"/>
                <w:sz w:val="20"/>
              </w:rPr>
              <w:t>CTRL / AA / CCR</w:t>
            </w:r>
          </w:p>
        </w:tc>
      </w:tr>
    </w:tbl>
    <w:p/>
    <w:p>
      <w:pPr>
        <w:spacing w:before="240" w:after="80"/>
        <w:jc w:val="left"/>
      </w:pPr>
      <w:r>
        <w:rPr>
          <w:rFonts w:ascii="Times New Roman" w:hAnsi="Times New Roman"/>
          <w:b/>
          <w:sz w:val="24"/>
        </w:rPr>
        <w:t>3.2 Preprocesamiento</w:t>
      </w:r>
    </w:p>
    <w:p>
      <w:pPr>
        <w:spacing w:before="160" w:after="80"/>
        <w:jc w:val="left"/>
      </w:pPr>
      <w:r>
        <w:rPr>
          <w:rFonts w:ascii="Times New Roman" w:hAnsi="Times New Roman"/>
          <w:b/>
          <w:i/>
          <w:sz w:val="24"/>
        </w:rPr>
        <w:t>3.2.1 Tratamiento de datos faltantes</w:t>
      </w:r>
    </w:p>
    <w:p>
      <w:pPr>
        <w:ind w:firstLine="720"/>
        <w:jc w:val="both"/>
      </w:pPr>
      <w:r>
        <w:rPr>
          <w:rFonts w:ascii="Times New Roman" w:hAnsi="Times New Roman"/>
          <w:sz w:val="24"/>
        </w:rPr>
        <w:t>El analisis de datos faltantes revelo que 56 de 132 variables no presentaban valores ausentes, mientras que 27 lipidos contenian mas del 20% de datos faltantes. Se eliminaron 5 lipidos con mas del 40% de valores faltantes (PC(33:0), PE(P-18:0/20:4), SM(36:2), TG(55:2), SM(d18:1/17:0)), reteniendo 122 lipidos para el analisis.</w:t>
      </w:r>
    </w:p>
    <w:p>
      <w:pPr>
        <w:ind w:firstLine="720"/>
        <w:jc w:val="both"/>
      </w:pPr>
      <w:r>
        <w:rPr>
          <w:rFonts w:ascii="Times New Roman" w:hAnsi="Times New Roman"/>
          <w:sz w:val="24"/>
        </w:rPr>
        <w:t>El analisis del mecanismo de datos faltantes mediante pruebas de chi-cuadrado revelo que 13 de 56 lipidos evaluados presentaban dependencia significativa del patron de ausencia con respecto al grupo diagnostico (p &lt; 0.05), indicando un mecanismo MAR/MNAR. Biologicamente, las concentraciones bajo el limite de deteccion son mas frecuentes en controles sanos, donde ciertos lipidos asociados a procesos tumorales se encuentran en concentraciones minimas.</w:t>
      </w:r>
    </w:p>
    <w:p>
      <w:pPr>
        <w:ind w:firstLine="720"/>
        <w:jc w:val="both"/>
      </w:pPr>
      <w:r>
        <w:rPr>
          <w:rFonts w:ascii="Times New Roman" w:hAnsi="Times New Roman"/>
          <w:sz w:val="24"/>
        </w:rPr>
        <w:t>Se selecciono la imputacion por mediana de grupo (CTRL/AA/CCR) sobre el metodo MICE, validando la decision mediante dos metricas: la norma de Frobenius (3.24 vs. 13.58) y el porcentaje de pares con cambio en correlacion |Delta r| &gt; 0.10 (1.6% vs. 15.2%). La imputacion por mediana preservo la estructura de correlacion lipidomica 4 veces mejor que MICE, lo cual es critico dado que los patrones de co-regulacion entre lipidos contienen informacion biologica relevante.</w:t>
      </w:r>
    </w:p>
    <w:p>
      <w:pPr>
        <w:spacing w:before="160" w:after="80"/>
        <w:jc w:val="left"/>
      </w:pPr>
      <w:r>
        <w:rPr>
          <w:rFonts w:ascii="Times New Roman" w:hAnsi="Times New Roman"/>
          <w:b/>
          <w:i/>
          <w:sz w:val="24"/>
        </w:rPr>
        <w:t>3.2.2 Transformacion y escalado</w:t>
      </w:r>
    </w:p>
    <w:p>
      <w:pPr>
        <w:ind w:firstLine="720"/>
        <w:jc w:val="both"/>
      </w:pPr>
      <w:r>
        <w:rPr>
          <w:rFonts w:ascii="Times New Roman" w:hAnsi="Times New Roman"/>
          <w:sz w:val="24"/>
        </w:rPr>
        <w:t>Dado que los 127 lipidos presentaron asimetria positiva severa (mediana de asimetria = 5.47), se evaluaron cuatro estrategias de transformacion: log1p, Yeo-Johnson, Box-Cox y datos crudos. La transformacion Box-Cox alcanzo la mayor tasa de normalidad segun la prueba de Shapiro-Wilk (81.1% de variables con p &gt; 0.05), frente a log1p (0.8%) y Yeo-Johnson (5.5%). La mediana de asimetria se redujo de 5.47 a 0.03 tras la transformacion Box-Cox. Posteriormente, se aplico StandardScaler (media = 0, desviacion estandar = 1) a las variables continuas.</w:t>
      </w:r>
    </w:p>
    <w:p>
      <w:pPr>
        <w:spacing w:before="240" w:after="80"/>
        <w:jc w:val="left"/>
      </w:pPr>
      <w:r>
        <w:rPr>
          <w:rFonts w:ascii="Times New Roman" w:hAnsi="Times New Roman"/>
          <w:b/>
          <w:sz w:val="24"/>
        </w:rPr>
        <w:t>3.3 Seleccion de caracteristicas</w:t>
      </w:r>
    </w:p>
    <w:p>
      <w:pPr>
        <w:ind w:firstLine="720"/>
        <w:jc w:val="both"/>
      </w:pPr>
      <w:r>
        <w:rPr>
          <w:rFonts w:ascii="Times New Roman" w:hAnsi="Times New Roman"/>
          <w:sz w:val="24"/>
        </w:rPr>
        <w:t>Se implemento una estrategia de seleccion por interseccion de dos criterios independientes: Informacion Mutua (MI, criterio no lineal) y ANOVA F-test (criterio lineal). Se seleccionaron las 30 variables mas relevantes segun cada criterio y se retuvo su interseccion. El coeficiente de Jaccard entre ambos conjuntos fue de 27.66%, indicando baja redundancia y complementariedad entre los criterios.</w:t>
      </w:r>
    </w:p>
    <w:p>
      <w:pPr>
        <w:ind w:firstLine="720"/>
        <w:jc w:val="both"/>
      </w:pPr>
      <w:r>
        <w:rPr>
          <w:rFonts w:ascii="Times New Roman" w:hAnsi="Times New Roman"/>
          <w:sz w:val="24"/>
        </w:rPr>
        <w:t>La matriz resultante, denominada X_intersect, contiene 16 variables: 12 biomarcadores lipidomicos, 2 variables clinicas (edad, FIT) y 2 indicadores categoricos (genero, FOB). La Tabla 2 lista los biomarcadores lipidomicos incluidos.</w:t>
      </w:r>
    </w:p>
    <w:p>
      <w:pPr>
        <w:spacing w:before="240"/>
        <w:jc w:val="left"/>
      </w:pPr>
      <w:r>
        <w:rPr>
          <w:rFonts w:ascii="Times New Roman" w:hAnsi="Times New Roman"/>
          <w:b/>
          <w:sz w:val="20"/>
        </w:rPr>
        <w:t>Tabla 2. Biomarcadores lipidomicos en X_intersect (seleccion por MI interseccion ANOVA).</w:t>
      </w:r>
    </w:p>
    <w:tbl>
      <w:tblPr>
        <w:tblStyle w:val="LightGrid-Accent1"/>
        <w:tblW w:type="auto" w:w="0"/>
        <w:jc w:val="center"/>
        <w:tblLook w:firstColumn="1" w:firstRow="1" w:lastColumn="0" w:lastRow="0" w:noHBand="0" w:noVBand="1" w:val="04A0"/>
      </w:tblPr>
      <w:tblGrid>
        <w:gridCol w:w="4419"/>
        <w:gridCol w:w="4419"/>
      </w:tblGrid>
      <w:tr>
        <w:tc>
          <w:tcPr>
            <w:tcW w:type="dxa" w:w="4419"/>
          </w:tcPr>
          <w:p>
            <w:r>
              <w:rPr>
                <w:rFonts w:ascii="Times New Roman" w:hAnsi="Times New Roman"/>
                <w:b/>
                <w:sz w:val="20"/>
              </w:rPr>
              <w:t>Biomarcador</w:t>
            </w:r>
          </w:p>
        </w:tc>
        <w:tc>
          <w:tcPr>
            <w:tcW w:type="dxa" w:w="4419"/>
          </w:tcPr>
          <w:p>
            <w:r>
              <w:rPr>
                <w:rFonts w:ascii="Times New Roman" w:hAnsi="Times New Roman"/>
                <w:b/>
                <w:sz w:val="20"/>
              </w:rPr>
              <w:t>Familia lipidica</w:t>
            </w:r>
          </w:p>
        </w:tc>
      </w:tr>
      <w:tr>
        <w:tc>
          <w:tcPr>
            <w:tcW w:type="dxa" w:w="4419"/>
          </w:tcPr>
          <w:p>
            <w:r>
              <w:rPr>
                <w:rFonts w:ascii="Times New Roman" w:hAnsi="Times New Roman"/>
                <w:sz w:val="20"/>
              </w:rPr>
              <w:t>CE(20:5)</w:t>
            </w:r>
          </w:p>
        </w:tc>
        <w:tc>
          <w:tcPr>
            <w:tcW w:type="dxa" w:w="4419"/>
          </w:tcPr>
          <w:p>
            <w:r>
              <w:rPr>
                <w:rFonts w:ascii="Times New Roman" w:hAnsi="Times New Roman"/>
                <w:sz w:val="20"/>
              </w:rPr>
              <w:t>Ester de colesterol</w:t>
            </w:r>
          </w:p>
        </w:tc>
      </w:tr>
      <w:tr>
        <w:tc>
          <w:tcPr>
            <w:tcW w:type="dxa" w:w="4419"/>
          </w:tcPr>
          <w:p>
            <w:r>
              <w:rPr>
                <w:rFonts w:ascii="Times New Roman" w:hAnsi="Times New Roman"/>
                <w:sz w:val="20"/>
              </w:rPr>
              <w:t>GlcCer(d18:1/24:0)</w:t>
            </w:r>
          </w:p>
        </w:tc>
        <w:tc>
          <w:tcPr>
            <w:tcW w:type="dxa" w:w="4419"/>
          </w:tcPr>
          <w:p>
            <w:r>
              <w:rPr>
                <w:rFonts w:ascii="Times New Roman" w:hAnsi="Times New Roman"/>
                <w:sz w:val="20"/>
              </w:rPr>
              <w:t>Monohexosilceramida</w:t>
            </w:r>
          </w:p>
        </w:tc>
      </w:tr>
      <w:tr>
        <w:tc>
          <w:tcPr>
            <w:tcW w:type="dxa" w:w="4419"/>
          </w:tcPr>
          <w:p>
            <w:r>
              <w:rPr>
                <w:rFonts w:ascii="Times New Roman" w:hAnsi="Times New Roman"/>
                <w:sz w:val="20"/>
              </w:rPr>
              <w:t>PC(36:5)</w:t>
            </w:r>
          </w:p>
        </w:tc>
        <w:tc>
          <w:tcPr>
            <w:tcW w:type="dxa" w:w="4419"/>
          </w:tcPr>
          <w:p>
            <w:r>
              <w:rPr>
                <w:rFonts w:ascii="Times New Roman" w:hAnsi="Times New Roman"/>
                <w:sz w:val="20"/>
              </w:rPr>
              <w:t>Diacilglicerofosofocolina</w:t>
            </w:r>
          </w:p>
        </w:tc>
      </w:tr>
      <w:tr>
        <w:tc>
          <w:tcPr>
            <w:tcW w:type="dxa" w:w="4419"/>
          </w:tcPr>
          <w:p>
            <w:r>
              <w:rPr>
                <w:rFonts w:ascii="Times New Roman" w:hAnsi="Times New Roman"/>
                <w:sz w:val="20"/>
              </w:rPr>
              <w:t>PC(O-16:0/16:0)</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PC(O-16:0/18:2)</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PC(O-34:1)</w:t>
            </w:r>
          </w:p>
        </w:tc>
        <w:tc>
          <w:tcPr>
            <w:tcW w:type="dxa" w:w="4419"/>
          </w:tcPr>
          <w:p>
            <w:r>
              <w:rPr>
                <w:rFonts w:ascii="Times New Roman" w:hAnsi="Times New Roman"/>
                <w:sz w:val="20"/>
              </w:rPr>
              <w:t>Eter-glicerofosofocolina</w:t>
            </w:r>
          </w:p>
        </w:tc>
      </w:tr>
      <w:tr>
        <w:tc>
          <w:tcPr>
            <w:tcW w:type="dxa" w:w="4419"/>
          </w:tcPr>
          <w:p>
            <w:r>
              <w:rPr>
                <w:rFonts w:ascii="Times New Roman" w:hAnsi="Times New Roman"/>
                <w:sz w:val="20"/>
              </w:rPr>
              <w:t>SM(33:1)</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SM(42:3)</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SM(d18:1/22:0)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SM(d18:1/23:0)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SM(d18:1/24:1) + SM(d18:2/24:0)</w:t>
            </w:r>
          </w:p>
        </w:tc>
        <w:tc>
          <w:tcPr>
            <w:tcW w:type="dxa" w:w="4419"/>
          </w:tcPr>
          <w:p>
            <w:r>
              <w:rPr>
                <w:rFonts w:ascii="Times New Roman" w:hAnsi="Times New Roman"/>
                <w:sz w:val="20"/>
              </w:rPr>
              <w:t>Esfingomielina</w:t>
            </w:r>
          </w:p>
        </w:tc>
      </w:tr>
      <w:tr>
        <w:tc>
          <w:tcPr>
            <w:tcW w:type="dxa" w:w="4419"/>
          </w:tcPr>
          <w:p>
            <w:r>
              <w:rPr>
                <w:rFonts w:ascii="Times New Roman" w:hAnsi="Times New Roman"/>
                <w:sz w:val="20"/>
              </w:rPr>
              <w:t>TG(51:4)</w:t>
            </w:r>
          </w:p>
        </w:tc>
        <w:tc>
          <w:tcPr>
            <w:tcW w:type="dxa" w:w="4419"/>
          </w:tcPr>
          <w:p>
            <w:r>
              <w:rPr>
                <w:rFonts w:ascii="Times New Roman" w:hAnsi="Times New Roman"/>
                <w:sz w:val="20"/>
              </w:rPr>
              <w:t>Triacilglicerol</w:t>
            </w:r>
          </w:p>
        </w:tc>
      </w:tr>
    </w:tbl>
    <w:p/>
    <w:p>
      <w:pPr>
        <w:spacing w:before="240" w:after="80"/>
        <w:jc w:val="left"/>
      </w:pPr>
      <w:r>
        <w:rPr>
          <w:rFonts w:ascii="Times New Roman" w:hAnsi="Times New Roman"/>
          <w:b/>
          <w:sz w:val="24"/>
        </w:rPr>
        <w:t>3.4 Modelos evaluados</w:t>
      </w:r>
    </w:p>
    <w:p>
      <w:pPr>
        <w:ind w:firstLine="720"/>
        <w:jc w:val="both"/>
      </w:pPr>
      <w:r>
        <w:rPr>
          <w:rFonts w:ascii="Times New Roman" w:hAnsi="Times New Roman"/>
          <w:sz w:val="24"/>
        </w:rPr>
        <w:t>Se comparo un total de 14 modelos organizados en dos fases. En la primera fase se evaluaron 6 clasificadores individuales con optimizacion de hiperparametros mediante GridSearchCV con validacion cruzada estratificada de 5 particiones: Regresion Logistica, Arbol de Decision, Maquina de Vectores de Soporte (SVM), K-Vecinos mas Cercanos (KNN), Naive Bayes Gaussiano y Analisis Discriminante Lineal (LDA). Todos los modelos aplicables se configuraron con class_weight='balanced' para compensar el desbalance moderado de clases.</w:t>
      </w:r>
    </w:p>
    <w:p>
      <w:pPr>
        <w:ind w:firstLine="720"/>
        <w:jc w:val="both"/>
      </w:pPr>
      <w:r>
        <w:rPr>
          <w:rFonts w:ascii="Times New Roman" w:hAnsi="Times New Roman"/>
          <w:sz w:val="24"/>
        </w:rPr>
        <w:t>En la segunda fase se evaluaron 8 modelos ensemble: 5 homogeneos (Bagging Tree, Random Forest, Gradient Boosting, AdaBoost, Extra Trees) y 2 heterogeneos (Stacking con meta-clasificador de Regresion Logistica, Voting Soft), ademas del Arbol de Decision individual como referencia.</w:t>
      </w:r>
    </w:p>
    <w:p>
      <w:pPr>
        <w:spacing w:before="240" w:after="80"/>
        <w:jc w:val="left"/>
      </w:pPr>
      <w:r>
        <w:rPr>
          <w:rFonts w:ascii="Times New Roman" w:hAnsi="Times New Roman"/>
          <w:b/>
          <w:sz w:val="24"/>
        </w:rPr>
        <w:t>3.5 Estrategia de evaluacion</w:t>
      </w:r>
    </w:p>
    <w:p>
      <w:pPr>
        <w:ind w:firstLine="720"/>
        <w:jc w:val="both"/>
      </w:pPr>
      <w:r>
        <w:rPr>
          <w:rFonts w:ascii="Times New Roman" w:hAnsi="Times New Roman"/>
          <w:sz w:val="24"/>
        </w:rPr>
        <w:t>Se implemento una evaluacion en dos niveles para prevenir fuga de datos (data leakage). El conjunto de datos se dividio en X_dev (80%, n=168) para entrenamiento y optimizacion, y X_test (20%, n=43) como conjunto held-out independiente, nunca utilizado durante la seleccion de modelos ni la optimizacion de hiperparametros. Sobre X_dev se aplico validacion cruzada estratificada de 5 particiones.</w:t>
      </w:r>
    </w:p>
    <w:p>
      <w:pPr>
        <w:ind w:firstLine="720"/>
        <w:jc w:val="both"/>
      </w:pPr>
      <w:r>
        <w:rPr>
          <w:rFonts w:ascii="Times New Roman" w:hAnsi="Times New Roman"/>
          <w:sz w:val="24"/>
        </w:rPr>
        <w:t>La metrica primaria de evaluacion fue el F1 macro, que pondera por igual el rendimiento en las tres clases, evitando el sesgo hacia clases mayoritarias que introduce la exactitud (accuracy). Las metricas secundarias incluyeron AUC-ROC macro (one-vs-rest), precision y recall por clase, con enfasis especial en el rendimiento sobre la clase AA como metrica de relevancia clinica.</w:t>
      </w:r>
    </w:p>
    <w:p>
      <w:pPr>
        <w:spacing w:before="360" w:after="120"/>
        <w:jc w:val="left"/>
      </w:pPr>
      <w:r>
        <w:rPr>
          <w:rFonts w:ascii="Times New Roman" w:hAnsi="Times New Roman"/>
          <w:b/>
          <w:sz w:val="28"/>
        </w:rPr>
        <w:t>4. Resultados</w:t>
      </w:r>
    </w:p>
    <w:p>
      <w:pPr>
        <w:spacing w:before="240" w:after="80"/>
        <w:jc w:val="left"/>
      </w:pPr>
      <w:r>
        <w:rPr>
          <w:rFonts w:ascii="Times New Roman" w:hAnsi="Times New Roman"/>
          <w:b/>
          <w:sz w:val="24"/>
        </w:rPr>
        <w:t>4.1 Comparacion de clasificadores individuales</w:t>
      </w:r>
    </w:p>
    <w:p>
      <w:pPr>
        <w:ind w:firstLine="720"/>
        <w:jc w:val="both"/>
      </w:pPr>
      <w:r>
        <w:rPr>
          <w:rFonts w:ascii="Times New Roman" w:hAnsi="Times New Roman"/>
          <w:sz w:val="24"/>
        </w:rPr>
        <w:t>La Tabla 3 presenta los resultados de los 6 clasificadores individuales tras optimizacion de hiperparametros. El Arbol de Decision fue seleccionado como mejor modelo individual (F1 macro held-out = 0.681) por su consistencia entre validacion cruzada y conjunto de prueba (brecha = 0.026, frente a 0.062 del KNN) y su interpretabilidad clinica.</w:t>
      </w:r>
    </w:p>
    <w:p>
      <w:pPr>
        <w:spacing w:before="240"/>
        <w:jc w:val="left"/>
      </w:pPr>
      <w:r>
        <w:rPr>
          <w:rFonts w:ascii="Times New Roman" w:hAnsi="Times New Roman"/>
          <w:b/>
          <w:sz w:val="20"/>
        </w:rPr>
        <w:t>Tabla 3. Rendimiento de clasificadores individuales (X_intersect, 16 variables).</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Modelo</w:t>
            </w:r>
          </w:p>
        </w:tc>
        <w:tc>
          <w:tcPr>
            <w:tcW w:type="dxa" w:w="2209"/>
          </w:tcPr>
          <w:p>
            <w:r>
              <w:rPr>
                <w:rFonts w:ascii="Times New Roman" w:hAnsi="Times New Roman"/>
                <w:b/>
                <w:sz w:val="20"/>
              </w:rPr>
              <w:t>F1 CV</w:t>
            </w:r>
          </w:p>
        </w:tc>
        <w:tc>
          <w:tcPr>
            <w:tcW w:type="dxa" w:w="2209"/>
          </w:tcPr>
          <w:p>
            <w:r>
              <w:rPr>
                <w:rFonts w:ascii="Times New Roman" w:hAnsi="Times New Roman"/>
                <w:b/>
                <w:sz w:val="20"/>
              </w:rPr>
              <w:t>F1 Held-out</w:t>
            </w:r>
          </w:p>
        </w:tc>
        <w:tc>
          <w:tcPr>
            <w:tcW w:type="dxa" w:w="2209"/>
          </w:tcPr>
          <w:p>
            <w:r>
              <w:rPr>
                <w:rFonts w:ascii="Times New Roman" w:hAnsi="Times New Roman"/>
                <w:b/>
                <w:sz w:val="20"/>
              </w:rPr>
              <w:t>Brecha</w:t>
            </w:r>
          </w:p>
        </w:tc>
      </w:tr>
      <w:tr>
        <w:tc>
          <w:tcPr>
            <w:tcW w:type="dxa" w:w="2209"/>
          </w:tcPr>
          <w:p>
            <w:r>
              <w:rPr>
                <w:rFonts w:ascii="Times New Roman" w:hAnsi="Times New Roman"/>
                <w:sz w:val="20"/>
              </w:rPr>
              <w:t>KNN (k=7, Manhattan)</w:t>
            </w:r>
          </w:p>
        </w:tc>
        <w:tc>
          <w:tcPr>
            <w:tcW w:type="dxa" w:w="2209"/>
          </w:tcPr>
          <w:p>
            <w:r>
              <w:rPr>
                <w:rFonts w:ascii="Times New Roman" w:hAnsi="Times New Roman"/>
                <w:sz w:val="20"/>
              </w:rPr>
              <w:t>0.729</w:t>
            </w:r>
          </w:p>
        </w:tc>
        <w:tc>
          <w:tcPr>
            <w:tcW w:type="dxa" w:w="2209"/>
          </w:tcPr>
          <w:p>
            <w:r>
              <w:rPr>
                <w:rFonts w:ascii="Times New Roman" w:hAnsi="Times New Roman"/>
                <w:sz w:val="20"/>
              </w:rPr>
              <w:t>0.667</w:t>
            </w:r>
          </w:p>
        </w:tc>
        <w:tc>
          <w:tcPr>
            <w:tcW w:type="dxa" w:w="2209"/>
          </w:tcPr>
          <w:p>
            <w:r>
              <w:rPr>
                <w:rFonts w:ascii="Times New Roman" w:hAnsi="Times New Roman"/>
                <w:sz w:val="20"/>
              </w:rPr>
              <w:t>0.062</w:t>
            </w:r>
          </w:p>
        </w:tc>
      </w:tr>
      <w:tr>
        <w:tc>
          <w:tcPr>
            <w:tcW w:type="dxa" w:w="2209"/>
          </w:tcPr>
          <w:p>
            <w:r>
              <w:rPr>
                <w:rFonts w:ascii="Times New Roman" w:hAnsi="Times New Roman"/>
                <w:sz w:val="20"/>
              </w:rPr>
              <w:t>Arbol de Decision (max_depth=5)</w:t>
            </w:r>
          </w:p>
        </w:tc>
        <w:tc>
          <w:tcPr>
            <w:tcW w:type="dxa" w:w="2209"/>
          </w:tcPr>
          <w:p>
            <w:r>
              <w:rPr>
                <w:rFonts w:ascii="Times New Roman" w:hAnsi="Times New Roman"/>
                <w:sz w:val="20"/>
              </w:rPr>
              <w:t>0.707</w:t>
            </w:r>
          </w:p>
        </w:tc>
        <w:tc>
          <w:tcPr>
            <w:tcW w:type="dxa" w:w="2209"/>
          </w:tcPr>
          <w:p>
            <w:r>
              <w:rPr>
                <w:rFonts w:ascii="Times New Roman" w:hAnsi="Times New Roman"/>
                <w:sz w:val="20"/>
              </w:rPr>
              <w:t>0.681</w:t>
            </w:r>
          </w:p>
        </w:tc>
        <w:tc>
          <w:tcPr>
            <w:tcW w:type="dxa" w:w="2209"/>
          </w:tcPr>
          <w:p>
            <w:r>
              <w:rPr>
                <w:rFonts w:ascii="Times New Roman" w:hAnsi="Times New Roman"/>
                <w:sz w:val="20"/>
              </w:rPr>
              <w:t>0.026</w:t>
            </w:r>
          </w:p>
        </w:tc>
      </w:tr>
      <w:tr>
        <w:tc>
          <w:tcPr>
            <w:tcW w:type="dxa" w:w="2209"/>
          </w:tcPr>
          <w:p>
            <w:r>
              <w:rPr>
                <w:rFonts w:ascii="Times New Roman" w:hAnsi="Times New Roman"/>
                <w:sz w:val="20"/>
              </w:rPr>
              <w:t>Regresion Logistica (C=0.001)</w:t>
            </w:r>
          </w:p>
        </w:tc>
        <w:tc>
          <w:tcPr>
            <w:tcW w:type="dxa" w:w="2209"/>
          </w:tcPr>
          <w:p>
            <w:r>
              <w:rPr>
                <w:rFonts w:ascii="Times New Roman" w:hAnsi="Times New Roman"/>
                <w:sz w:val="20"/>
              </w:rPr>
              <w:t>0.632</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SVM (C=100, RBF)</w:t>
            </w:r>
          </w:p>
        </w:tc>
        <w:tc>
          <w:tcPr>
            <w:tcW w:type="dxa" w:w="2209"/>
          </w:tcPr>
          <w:p>
            <w:r>
              <w:rPr>
                <w:rFonts w:ascii="Times New Roman" w:hAnsi="Times New Roman"/>
                <w:sz w:val="20"/>
              </w:rPr>
              <w:t>0.619</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LDA (shrinkage=auto)</w:t>
            </w:r>
          </w:p>
        </w:tc>
        <w:tc>
          <w:tcPr>
            <w:tcW w:type="dxa" w:w="2209"/>
          </w:tcPr>
          <w:p>
            <w:r>
              <w:rPr>
                <w:rFonts w:ascii="Times New Roman" w:hAnsi="Times New Roman"/>
                <w:sz w:val="20"/>
              </w:rPr>
              <w:t>0.578</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r>
        <w:tc>
          <w:tcPr>
            <w:tcW w:type="dxa" w:w="2209"/>
          </w:tcPr>
          <w:p>
            <w:r>
              <w:rPr>
                <w:rFonts w:ascii="Times New Roman" w:hAnsi="Times New Roman"/>
                <w:sz w:val="20"/>
              </w:rPr>
              <w:t>Naive Bayes Gaussiano</w:t>
            </w:r>
          </w:p>
        </w:tc>
        <w:tc>
          <w:tcPr>
            <w:tcW w:type="dxa" w:w="2209"/>
          </w:tcPr>
          <w:p>
            <w:r>
              <w:rPr>
                <w:rFonts w:ascii="Times New Roman" w:hAnsi="Times New Roman"/>
                <w:sz w:val="20"/>
              </w:rPr>
              <w:t>0.565</w:t>
            </w:r>
          </w:p>
        </w:tc>
        <w:tc>
          <w:tcPr>
            <w:tcW w:type="dxa" w:w="2209"/>
          </w:tcPr>
          <w:p>
            <w:r>
              <w:rPr>
                <w:rFonts w:ascii="Times New Roman" w:hAnsi="Times New Roman"/>
                <w:sz w:val="20"/>
              </w:rPr>
              <w:t>--</w:t>
            </w:r>
          </w:p>
        </w:tc>
        <w:tc>
          <w:tcPr>
            <w:tcW w:type="dxa" w:w="2209"/>
          </w:tcPr>
          <w:p>
            <w:r>
              <w:rPr>
                <w:rFonts w:ascii="Times New Roman" w:hAnsi="Times New Roman"/>
                <w:sz w:val="20"/>
              </w:rPr>
              <w:t>--</w:t>
            </w:r>
          </w:p>
        </w:tc>
      </w:tr>
    </w:tbl>
    <w:p/>
    <w:p>
      <w:pPr>
        <w:spacing w:before="240" w:after="80"/>
        <w:jc w:val="left"/>
      </w:pPr>
      <w:r>
        <w:rPr>
          <w:rFonts w:ascii="Times New Roman" w:hAnsi="Times New Roman"/>
          <w:b/>
          <w:sz w:val="24"/>
        </w:rPr>
        <w:t>4.2 Comparacion de modelos ensemble</w:t>
      </w:r>
    </w:p>
    <w:p>
      <w:pPr>
        <w:ind w:firstLine="720"/>
        <w:jc w:val="both"/>
      </w:pPr>
      <w:r>
        <w:rPr>
          <w:rFonts w:ascii="Times New Roman" w:hAnsi="Times New Roman"/>
          <w:sz w:val="24"/>
        </w:rPr>
        <w:t>La Tabla 4 muestra los resultados de los 8 modelos ensemble. El Bagging Tree alcanzo el mayor F1 macro en el conjunto held-out (0.855), superando al Random Forest (0.810), Gradient Boosting (0.809) y a los ensembles heterogeneos (Stacking: 0.760, Voting: 0.710). La mejora respecto al Arbol de Decision individual fue de +0.174 puntos F1 (+25.5%).</w:t>
      </w:r>
    </w:p>
    <w:p>
      <w:pPr>
        <w:spacing w:before="240"/>
        <w:jc w:val="left"/>
      </w:pPr>
      <w:r>
        <w:rPr>
          <w:rFonts w:ascii="Times New Roman" w:hAnsi="Times New Roman"/>
          <w:b/>
          <w:sz w:val="20"/>
        </w:rPr>
        <w:t>Tabla 4. Rendimiento de modelos ensemble (X_intersect, 16 variables).</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Modelo</w:t>
            </w:r>
          </w:p>
        </w:tc>
        <w:tc>
          <w:tcPr>
            <w:tcW w:type="dxa" w:w="2209"/>
          </w:tcPr>
          <w:p>
            <w:r>
              <w:rPr>
                <w:rFonts w:ascii="Times New Roman" w:hAnsi="Times New Roman"/>
                <w:b/>
                <w:sz w:val="20"/>
              </w:rPr>
              <w:t>Tipo</w:t>
            </w:r>
          </w:p>
        </w:tc>
        <w:tc>
          <w:tcPr>
            <w:tcW w:type="dxa" w:w="2209"/>
          </w:tcPr>
          <w:p>
            <w:r>
              <w:rPr>
                <w:rFonts w:ascii="Times New Roman" w:hAnsi="Times New Roman"/>
                <w:b/>
                <w:sz w:val="20"/>
              </w:rPr>
              <w:t>F1 CV</w:t>
            </w:r>
          </w:p>
        </w:tc>
        <w:tc>
          <w:tcPr>
            <w:tcW w:type="dxa" w:w="2209"/>
          </w:tcPr>
          <w:p>
            <w:r>
              <w:rPr>
                <w:rFonts w:ascii="Times New Roman" w:hAnsi="Times New Roman"/>
                <w:b/>
                <w:sz w:val="20"/>
              </w:rPr>
              <w:t>F1 Held-out</w:t>
            </w:r>
          </w:p>
        </w:tc>
      </w:tr>
      <w:tr>
        <w:tc>
          <w:tcPr>
            <w:tcW w:type="dxa" w:w="2209"/>
          </w:tcPr>
          <w:p>
            <w:r>
              <w:rPr>
                <w:rFonts w:ascii="Times New Roman" w:hAnsi="Times New Roman"/>
                <w:sz w:val="20"/>
              </w:rPr>
              <w:t>Bagging Tree</w:t>
            </w:r>
          </w:p>
        </w:tc>
        <w:tc>
          <w:tcPr>
            <w:tcW w:type="dxa" w:w="2209"/>
          </w:tcPr>
          <w:p>
            <w:r>
              <w:rPr>
                <w:rFonts w:ascii="Times New Roman" w:hAnsi="Times New Roman"/>
                <w:sz w:val="20"/>
              </w:rPr>
              <w:t>Homogeneo</w:t>
            </w:r>
          </w:p>
        </w:tc>
        <w:tc>
          <w:tcPr>
            <w:tcW w:type="dxa" w:w="2209"/>
          </w:tcPr>
          <w:p>
            <w:r>
              <w:rPr>
                <w:rFonts w:ascii="Times New Roman" w:hAnsi="Times New Roman"/>
                <w:sz w:val="20"/>
              </w:rPr>
              <w:t>0.802</w:t>
            </w:r>
          </w:p>
        </w:tc>
        <w:tc>
          <w:tcPr>
            <w:tcW w:type="dxa" w:w="2209"/>
          </w:tcPr>
          <w:p>
            <w:r>
              <w:rPr>
                <w:rFonts w:ascii="Times New Roman" w:hAnsi="Times New Roman"/>
                <w:sz w:val="20"/>
              </w:rPr>
              <w:t>0.855</w:t>
            </w:r>
          </w:p>
        </w:tc>
      </w:tr>
      <w:tr>
        <w:tc>
          <w:tcPr>
            <w:tcW w:type="dxa" w:w="2209"/>
          </w:tcPr>
          <w:p>
            <w:r>
              <w:rPr>
                <w:rFonts w:ascii="Times New Roman" w:hAnsi="Times New Roman"/>
                <w:sz w:val="20"/>
              </w:rPr>
              <w:t>Random Forest</w:t>
            </w:r>
          </w:p>
        </w:tc>
        <w:tc>
          <w:tcPr>
            <w:tcW w:type="dxa" w:w="2209"/>
          </w:tcPr>
          <w:p>
            <w:r>
              <w:rPr>
                <w:rFonts w:ascii="Times New Roman" w:hAnsi="Times New Roman"/>
                <w:sz w:val="20"/>
              </w:rPr>
              <w:t>Homogeneo</w:t>
            </w:r>
          </w:p>
        </w:tc>
        <w:tc>
          <w:tcPr>
            <w:tcW w:type="dxa" w:w="2209"/>
          </w:tcPr>
          <w:p>
            <w:r>
              <w:rPr>
                <w:rFonts w:ascii="Times New Roman" w:hAnsi="Times New Roman"/>
                <w:sz w:val="20"/>
              </w:rPr>
              <w:t>0.806</w:t>
            </w:r>
          </w:p>
        </w:tc>
        <w:tc>
          <w:tcPr>
            <w:tcW w:type="dxa" w:w="2209"/>
          </w:tcPr>
          <w:p>
            <w:r>
              <w:rPr>
                <w:rFonts w:ascii="Times New Roman" w:hAnsi="Times New Roman"/>
                <w:sz w:val="20"/>
              </w:rPr>
              <w:t>0.810</w:t>
            </w:r>
          </w:p>
        </w:tc>
      </w:tr>
      <w:tr>
        <w:tc>
          <w:tcPr>
            <w:tcW w:type="dxa" w:w="2209"/>
          </w:tcPr>
          <w:p>
            <w:r>
              <w:rPr>
                <w:rFonts w:ascii="Times New Roman" w:hAnsi="Times New Roman"/>
                <w:sz w:val="20"/>
              </w:rPr>
              <w:t>Gradient Boosting</w:t>
            </w:r>
          </w:p>
        </w:tc>
        <w:tc>
          <w:tcPr>
            <w:tcW w:type="dxa" w:w="2209"/>
          </w:tcPr>
          <w:p>
            <w:r>
              <w:rPr>
                <w:rFonts w:ascii="Times New Roman" w:hAnsi="Times New Roman"/>
                <w:sz w:val="20"/>
              </w:rPr>
              <w:t>Homogeneo</w:t>
            </w:r>
          </w:p>
        </w:tc>
        <w:tc>
          <w:tcPr>
            <w:tcW w:type="dxa" w:w="2209"/>
          </w:tcPr>
          <w:p>
            <w:r>
              <w:rPr>
                <w:rFonts w:ascii="Times New Roman" w:hAnsi="Times New Roman"/>
                <w:sz w:val="20"/>
              </w:rPr>
              <w:t>0.820</w:t>
            </w:r>
          </w:p>
        </w:tc>
        <w:tc>
          <w:tcPr>
            <w:tcW w:type="dxa" w:w="2209"/>
          </w:tcPr>
          <w:p>
            <w:r>
              <w:rPr>
                <w:rFonts w:ascii="Times New Roman" w:hAnsi="Times New Roman"/>
                <w:sz w:val="20"/>
              </w:rPr>
              <w:t>0.809</w:t>
            </w:r>
          </w:p>
        </w:tc>
      </w:tr>
      <w:tr>
        <w:tc>
          <w:tcPr>
            <w:tcW w:type="dxa" w:w="2209"/>
          </w:tcPr>
          <w:p>
            <w:r>
              <w:rPr>
                <w:rFonts w:ascii="Times New Roman" w:hAnsi="Times New Roman"/>
                <w:sz w:val="20"/>
              </w:rPr>
              <w:t>AdaBoost</w:t>
            </w:r>
          </w:p>
        </w:tc>
        <w:tc>
          <w:tcPr>
            <w:tcW w:type="dxa" w:w="2209"/>
          </w:tcPr>
          <w:p>
            <w:r>
              <w:rPr>
                <w:rFonts w:ascii="Times New Roman" w:hAnsi="Times New Roman"/>
                <w:sz w:val="20"/>
              </w:rPr>
              <w:t>Homogeneo</w:t>
            </w:r>
          </w:p>
        </w:tc>
        <w:tc>
          <w:tcPr>
            <w:tcW w:type="dxa" w:w="2209"/>
          </w:tcPr>
          <w:p>
            <w:r>
              <w:rPr>
                <w:rFonts w:ascii="Times New Roman" w:hAnsi="Times New Roman"/>
                <w:sz w:val="20"/>
              </w:rPr>
              <w:t>0.752</w:t>
            </w:r>
          </w:p>
        </w:tc>
        <w:tc>
          <w:tcPr>
            <w:tcW w:type="dxa" w:w="2209"/>
          </w:tcPr>
          <w:p>
            <w:r>
              <w:rPr>
                <w:rFonts w:ascii="Times New Roman" w:hAnsi="Times New Roman"/>
                <w:sz w:val="20"/>
              </w:rPr>
              <w:t>0.809</w:t>
            </w:r>
          </w:p>
        </w:tc>
      </w:tr>
      <w:tr>
        <w:tc>
          <w:tcPr>
            <w:tcW w:type="dxa" w:w="2209"/>
          </w:tcPr>
          <w:p>
            <w:r>
              <w:rPr>
                <w:rFonts w:ascii="Times New Roman" w:hAnsi="Times New Roman"/>
                <w:sz w:val="20"/>
              </w:rPr>
              <w:t>Stacking</w:t>
            </w:r>
          </w:p>
        </w:tc>
        <w:tc>
          <w:tcPr>
            <w:tcW w:type="dxa" w:w="2209"/>
          </w:tcPr>
          <w:p>
            <w:r>
              <w:rPr>
                <w:rFonts w:ascii="Times New Roman" w:hAnsi="Times New Roman"/>
                <w:sz w:val="20"/>
              </w:rPr>
              <w:t>Heterogeneo</w:t>
            </w:r>
          </w:p>
        </w:tc>
        <w:tc>
          <w:tcPr>
            <w:tcW w:type="dxa" w:w="2209"/>
          </w:tcPr>
          <w:p>
            <w:r>
              <w:rPr>
                <w:rFonts w:ascii="Times New Roman" w:hAnsi="Times New Roman"/>
                <w:sz w:val="20"/>
              </w:rPr>
              <w:t>0.682</w:t>
            </w:r>
          </w:p>
        </w:tc>
        <w:tc>
          <w:tcPr>
            <w:tcW w:type="dxa" w:w="2209"/>
          </w:tcPr>
          <w:p>
            <w:r>
              <w:rPr>
                <w:rFonts w:ascii="Times New Roman" w:hAnsi="Times New Roman"/>
                <w:sz w:val="20"/>
              </w:rPr>
              <w:t>0.760</w:t>
            </w:r>
          </w:p>
        </w:tc>
      </w:tr>
      <w:tr>
        <w:tc>
          <w:tcPr>
            <w:tcW w:type="dxa" w:w="2209"/>
          </w:tcPr>
          <w:p>
            <w:r>
              <w:rPr>
                <w:rFonts w:ascii="Times New Roman" w:hAnsi="Times New Roman"/>
                <w:sz w:val="20"/>
              </w:rPr>
              <w:t>Extra Trees</w:t>
            </w:r>
          </w:p>
        </w:tc>
        <w:tc>
          <w:tcPr>
            <w:tcW w:type="dxa" w:w="2209"/>
          </w:tcPr>
          <w:p>
            <w:r>
              <w:rPr>
                <w:rFonts w:ascii="Times New Roman" w:hAnsi="Times New Roman"/>
                <w:sz w:val="20"/>
              </w:rPr>
              <w:t>Homogeneo</w:t>
            </w:r>
          </w:p>
        </w:tc>
        <w:tc>
          <w:tcPr>
            <w:tcW w:type="dxa" w:w="2209"/>
          </w:tcPr>
          <w:p>
            <w:r>
              <w:rPr>
                <w:rFonts w:ascii="Times New Roman" w:hAnsi="Times New Roman"/>
                <w:sz w:val="20"/>
              </w:rPr>
              <w:t>0.738</w:t>
            </w:r>
          </w:p>
        </w:tc>
        <w:tc>
          <w:tcPr>
            <w:tcW w:type="dxa" w:w="2209"/>
          </w:tcPr>
          <w:p>
            <w:r>
              <w:rPr>
                <w:rFonts w:ascii="Times New Roman" w:hAnsi="Times New Roman"/>
                <w:sz w:val="20"/>
              </w:rPr>
              <w:t>0.710</w:t>
            </w:r>
          </w:p>
        </w:tc>
      </w:tr>
      <w:tr>
        <w:tc>
          <w:tcPr>
            <w:tcW w:type="dxa" w:w="2209"/>
          </w:tcPr>
          <w:p>
            <w:r>
              <w:rPr>
                <w:rFonts w:ascii="Times New Roman" w:hAnsi="Times New Roman"/>
                <w:sz w:val="20"/>
              </w:rPr>
              <w:t>Voting Soft</w:t>
            </w:r>
          </w:p>
        </w:tc>
        <w:tc>
          <w:tcPr>
            <w:tcW w:type="dxa" w:w="2209"/>
          </w:tcPr>
          <w:p>
            <w:r>
              <w:rPr>
                <w:rFonts w:ascii="Times New Roman" w:hAnsi="Times New Roman"/>
                <w:sz w:val="20"/>
              </w:rPr>
              <w:t>Heterogeneo</w:t>
            </w:r>
          </w:p>
        </w:tc>
        <w:tc>
          <w:tcPr>
            <w:tcW w:type="dxa" w:w="2209"/>
          </w:tcPr>
          <w:p>
            <w:r>
              <w:rPr>
                <w:rFonts w:ascii="Times New Roman" w:hAnsi="Times New Roman"/>
                <w:sz w:val="20"/>
              </w:rPr>
              <w:t>0.633</w:t>
            </w:r>
          </w:p>
        </w:tc>
        <w:tc>
          <w:tcPr>
            <w:tcW w:type="dxa" w:w="2209"/>
          </w:tcPr>
          <w:p>
            <w:r>
              <w:rPr>
                <w:rFonts w:ascii="Times New Roman" w:hAnsi="Times New Roman"/>
                <w:sz w:val="20"/>
              </w:rPr>
              <w:t>0.710</w:t>
            </w:r>
          </w:p>
        </w:tc>
      </w:tr>
      <w:tr>
        <w:tc>
          <w:tcPr>
            <w:tcW w:type="dxa" w:w="2209"/>
          </w:tcPr>
          <w:p>
            <w:r>
              <w:rPr>
                <w:rFonts w:ascii="Times New Roman" w:hAnsi="Times New Roman"/>
                <w:sz w:val="20"/>
              </w:rPr>
              <w:t>Arbol de Decision (ref.)</w:t>
            </w:r>
          </w:p>
        </w:tc>
        <w:tc>
          <w:tcPr>
            <w:tcW w:type="dxa" w:w="2209"/>
          </w:tcPr>
          <w:p>
            <w:r>
              <w:rPr>
                <w:rFonts w:ascii="Times New Roman" w:hAnsi="Times New Roman"/>
                <w:sz w:val="20"/>
              </w:rPr>
              <w:t>Individual</w:t>
            </w:r>
          </w:p>
        </w:tc>
        <w:tc>
          <w:tcPr>
            <w:tcW w:type="dxa" w:w="2209"/>
          </w:tcPr>
          <w:p>
            <w:r>
              <w:rPr>
                <w:rFonts w:ascii="Times New Roman" w:hAnsi="Times New Roman"/>
                <w:sz w:val="20"/>
              </w:rPr>
              <w:t>0.696</w:t>
            </w:r>
          </w:p>
        </w:tc>
        <w:tc>
          <w:tcPr>
            <w:tcW w:type="dxa" w:w="2209"/>
          </w:tcPr>
          <w:p>
            <w:r>
              <w:rPr>
                <w:rFonts w:ascii="Times New Roman" w:hAnsi="Times New Roman"/>
                <w:sz w:val="20"/>
              </w:rPr>
              <w:t>0.639</w:t>
            </w:r>
          </w:p>
        </w:tc>
      </w:tr>
    </w:tbl>
    <w:p/>
    <w:p>
      <w:pPr>
        <w:spacing w:before="240" w:after="80"/>
        <w:jc w:val="left"/>
      </w:pPr>
      <w:r>
        <w:rPr>
          <w:rFonts w:ascii="Times New Roman" w:hAnsi="Times New Roman"/>
          <w:b/>
          <w:sz w:val="24"/>
        </w:rPr>
        <w:t>4.3 Modelo final: Bagging Tree</w:t>
      </w:r>
    </w:p>
    <w:p>
      <w:pPr>
        <w:ind w:firstLine="720"/>
        <w:jc w:val="both"/>
      </w:pPr>
      <w:r>
        <w:rPr>
          <w:rFonts w:ascii="Times New Roman" w:hAnsi="Times New Roman"/>
          <w:sz w:val="24"/>
        </w:rPr>
        <w:t>El modelo Bagging Tree se configuro con los hiperparametros optimos identificados mediante GridSearchCV (108 combinaciones): n_estimators=200, max_samples=0.8, max_features=1.0, con arboles base sin restriccion de profundidad y class_weight='balanced'. La Tabla 5 presenta el rendimiento detallado por clase en el conjunto held-out.</w:t>
      </w:r>
    </w:p>
    <w:p>
      <w:pPr>
        <w:spacing w:before="240"/>
        <w:jc w:val="left"/>
      </w:pPr>
      <w:r>
        <w:rPr>
          <w:rFonts w:ascii="Times New Roman" w:hAnsi="Times New Roman"/>
          <w:b/>
          <w:sz w:val="20"/>
        </w:rPr>
        <w:t>Tabla 5. Rendimiento del Bagging Tree por clase (conjunto held-out, n=43).</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Clase</w:t>
            </w:r>
          </w:p>
        </w:tc>
        <w:tc>
          <w:tcPr>
            <w:tcW w:type="dxa" w:w="1768"/>
          </w:tcPr>
          <w:p>
            <w:r>
              <w:rPr>
                <w:rFonts w:ascii="Times New Roman" w:hAnsi="Times New Roman"/>
                <w:b/>
                <w:sz w:val="20"/>
              </w:rPr>
              <w:t>Precision</w:t>
            </w:r>
          </w:p>
        </w:tc>
        <w:tc>
          <w:tcPr>
            <w:tcW w:type="dxa" w:w="1768"/>
          </w:tcPr>
          <w:p>
            <w:r>
              <w:rPr>
                <w:rFonts w:ascii="Times New Roman" w:hAnsi="Times New Roman"/>
                <w:b/>
                <w:sz w:val="20"/>
              </w:rPr>
              <w:t>Recall</w:t>
            </w:r>
          </w:p>
        </w:tc>
        <w:tc>
          <w:tcPr>
            <w:tcW w:type="dxa" w:w="1768"/>
          </w:tcPr>
          <w:p>
            <w:r>
              <w:rPr>
                <w:rFonts w:ascii="Times New Roman" w:hAnsi="Times New Roman"/>
                <w:b/>
                <w:sz w:val="20"/>
              </w:rPr>
              <w:t>F1-Score</w:t>
            </w:r>
          </w:p>
        </w:tc>
        <w:tc>
          <w:tcPr>
            <w:tcW w:type="dxa" w:w="1768"/>
          </w:tcPr>
          <w:p>
            <w:r>
              <w:rPr>
                <w:rFonts w:ascii="Times New Roman" w:hAnsi="Times New Roman"/>
                <w:b/>
                <w:sz w:val="20"/>
              </w:rPr>
              <w:t>Soporte (n)</w:t>
            </w:r>
          </w:p>
        </w:tc>
      </w:tr>
      <w:tr>
        <w:tc>
          <w:tcPr>
            <w:tcW w:type="dxa" w:w="1768"/>
          </w:tcPr>
          <w:p>
            <w:r>
              <w:rPr>
                <w:rFonts w:ascii="Times New Roman" w:hAnsi="Times New Roman"/>
                <w:sz w:val="20"/>
              </w:rPr>
              <w:t>AA (Adenoma Avanzado)</w:t>
            </w:r>
          </w:p>
        </w:tc>
        <w:tc>
          <w:tcPr>
            <w:tcW w:type="dxa" w:w="1768"/>
          </w:tcPr>
          <w:p>
            <w:r>
              <w:rPr>
                <w:rFonts w:ascii="Times New Roman" w:hAnsi="Times New Roman"/>
                <w:sz w:val="20"/>
              </w:rPr>
              <w:t>0.82</w:t>
            </w:r>
          </w:p>
        </w:tc>
        <w:tc>
          <w:tcPr>
            <w:tcW w:type="dxa" w:w="1768"/>
          </w:tcPr>
          <w:p>
            <w:r>
              <w:rPr>
                <w:rFonts w:ascii="Times New Roman" w:hAnsi="Times New Roman"/>
                <w:sz w:val="20"/>
              </w:rPr>
              <w:t>0.75</w:t>
            </w:r>
          </w:p>
        </w:tc>
        <w:tc>
          <w:tcPr>
            <w:tcW w:type="dxa" w:w="1768"/>
          </w:tcPr>
          <w:p>
            <w:r>
              <w:rPr>
                <w:rFonts w:ascii="Times New Roman" w:hAnsi="Times New Roman"/>
                <w:sz w:val="20"/>
              </w:rPr>
              <w:t>0.78</w:t>
            </w:r>
          </w:p>
        </w:tc>
        <w:tc>
          <w:tcPr>
            <w:tcW w:type="dxa" w:w="1768"/>
          </w:tcPr>
          <w:p>
            <w:r>
              <w:rPr>
                <w:rFonts w:ascii="Times New Roman" w:hAnsi="Times New Roman"/>
                <w:sz w:val="20"/>
              </w:rPr>
              <w:t>12</w:t>
            </w:r>
          </w:p>
        </w:tc>
      </w:tr>
      <w:tr>
        <w:tc>
          <w:tcPr>
            <w:tcW w:type="dxa" w:w="1768"/>
          </w:tcPr>
          <w:p>
            <w:r>
              <w:rPr>
                <w:rFonts w:ascii="Times New Roman" w:hAnsi="Times New Roman"/>
                <w:sz w:val="20"/>
              </w:rPr>
              <w:t>CCR (Cancer Colorrectal)</w:t>
            </w:r>
          </w:p>
        </w:tc>
        <w:tc>
          <w:tcPr>
            <w:tcW w:type="dxa" w:w="1768"/>
          </w:tcPr>
          <w:p>
            <w:r>
              <w:rPr>
                <w:rFonts w:ascii="Times New Roman" w:hAnsi="Times New Roman"/>
                <w:sz w:val="20"/>
              </w:rPr>
              <w:t>0.78</w:t>
            </w:r>
          </w:p>
        </w:tc>
        <w:tc>
          <w:tcPr>
            <w:tcW w:type="dxa" w:w="1768"/>
          </w:tcPr>
          <w:p>
            <w:r>
              <w:rPr>
                <w:rFonts w:ascii="Times New Roman" w:hAnsi="Times New Roman"/>
                <w:sz w:val="20"/>
              </w:rPr>
              <w:t>0.93</w:t>
            </w:r>
          </w:p>
        </w:tc>
        <w:tc>
          <w:tcPr>
            <w:tcW w:type="dxa" w:w="1768"/>
          </w:tcPr>
          <w:p>
            <w:r>
              <w:rPr>
                <w:rFonts w:ascii="Times New Roman" w:hAnsi="Times New Roman"/>
                <w:sz w:val="20"/>
              </w:rPr>
              <w:t>0.85</w:t>
            </w:r>
          </w:p>
        </w:tc>
        <w:tc>
          <w:tcPr>
            <w:tcW w:type="dxa" w:w="1768"/>
          </w:tcPr>
          <w:p>
            <w:r>
              <w:rPr>
                <w:rFonts w:ascii="Times New Roman" w:hAnsi="Times New Roman"/>
                <w:sz w:val="20"/>
              </w:rPr>
              <w:t>15</w:t>
            </w:r>
          </w:p>
        </w:tc>
      </w:tr>
      <w:tr>
        <w:tc>
          <w:tcPr>
            <w:tcW w:type="dxa" w:w="1768"/>
          </w:tcPr>
          <w:p>
            <w:r>
              <w:rPr>
                <w:rFonts w:ascii="Times New Roman" w:hAnsi="Times New Roman"/>
                <w:sz w:val="20"/>
              </w:rPr>
              <w:t>CTRL (Control Sano)</w:t>
            </w:r>
          </w:p>
        </w:tc>
        <w:tc>
          <w:tcPr>
            <w:tcW w:type="dxa" w:w="1768"/>
          </w:tcPr>
          <w:p>
            <w:r>
              <w:rPr>
                <w:rFonts w:ascii="Times New Roman" w:hAnsi="Times New Roman"/>
                <w:sz w:val="20"/>
              </w:rPr>
              <w:t>1.00</w:t>
            </w:r>
          </w:p>
        </w:tc>
        <w:tc>
          <w:tcPr>
            <w:tcW w:type="dxa" w:w="1768"/>
          </w:tcPr>
          <w:p>
            <w:r>
              <w:rPr>
                <w:rFonts w:ascii="Times New Roman" w:hAnsi="Times New Roman"/>
                <w:sz w:val="20"/>
              </w:rPr>
              <w:t>0.88</w:t>
            </w:r>
          </w:p>
        </w:tc>
        <w:tc>
          <w:tcPr>
            <w:tcW w:type="dxa" w:w="1768"/>
          </w:tcPr>
          <w:p>
            <w:r>
              <w:rPr>
                <w:rFonts w:ascii="Times New Roman" w:hAnsi="Times New Roman"/>
                <w:sz w:val="20"/>
              </w:rPr>
              <w:t>0.93</w:t>
            </w:r>
          </w:p>
        </w:tc>
        <w:tc>
          <w:tcPr>
            <w:tcW w:type="dxa" w:w="1768"/>
          </w:tcPr>
          <w:p>
            <w:r>
              <w:rPr>
                <w:rFonts w:ascii="Times New Roman" w:hAnsi="Times New Roman"/>
                <w:sz w:val="20"/>
              </w:rPr>
              <w:t>16</w:t>
            </w:r>
          </w:p>
        </w:tc>
      </w:tr>
      <w:tr>
        <w:tc>
          <w:tcPr>
            <w:tcW w:type="dxa" w:w="1768"/>
          </w:tcPr>
          <w:p>
            <w:r>
              <w:rPr>
                <w:rFonts w:ascii="Times New Roman" w:hAnsi="Times New Roman"/>
                <w:sz w:val="20"/>
              </w:rPr>
              <w:t>Promedio Macro</w:t>
            </w:r>
          </w:p>
        </w:tc>
        <w:tc>
          <w:tcPr>
            <w:tcW w:type="dxa" w:w="1768"/>
          </w:tcPr>
          <w:p>
            <w:r>
              <w:rPr>
                <w:rFonts w:ascii="Times New Roman" w:hAnsi="Times New Roman"/>
                <w:sz w:val="20"/>
              </w:rPr>
              <w:t>0.87</w:t>
            </w:r>
          </w:p>
        </w:tc>
        <w:tc>
          <w:tcPr>
            <w:tcW w:type="dxa" w:w="1768"/>
          </w:tcPr>
          <w:p>
            <w:r>
              <w:rPr>
                <w:rFonts w:ascii="Times New Roman" w:hAnsi="Times New Roman"/>
                <w:sz w:val="20"/>
              </w:rPr>
              <w:t>0.85</w:t>
            </w:r>
          </w:p>
        </w:tc>
        <w:tc>
          <w:tcPr>
            <w:tcW w:type="dxa" w:w="1768"/>
          </w:tcPr>
          <w:p>
            <w:r>
              <w:rPr>
                <w:rFonts w:ascii="Times New Roman" w:hAnsi="Times New Roman"/>
                <w:sz w:val="20"/>
              </w:rPr>
              <w:t>0.855</w:t>
            </w:r>
          </w:p>
        </w:tc>
        <w:tc>
          <w:tcPr>
            <w:tcW w:type="dxa" w:w="1768"/>
          </w:tcPr>
          <w:p>
            <w:r>
              <w:rPr>
                <w:rFonts w:ascii="Times New Roman" w:hAnsi="Times New Roman"/>
                <w:sz w:val="20"/>
              </w:rPr>
              <w:t>43</w:t>
            </w:r>
          </w:p>
        </w:tc>
      </w:tr>
    </w:tbl>
    <w:p/>
    <w:p>
      <w:pPr>
        <w:ind w:firstLine="720"/>
        <w:jc w:val="both"/>
      </w:pPr>
      <w:r>
        <w:rPr>
          <w:rFonts w:ascii="Times New Roman" w:hAnsi="Times New Roman"/>
          <w:sz w:val="24"/>
        </w:rPr>
        <w:t>El AUC-ROC macro fue de 0.945 (AA: 0.902, CCR: 0.949, CTRL: 0.984). La matriz de confusion (Tabla 6) revela que ninguna muestra de AA fue clasificada erróneamente como CTRL, lo cual tiene relevancia clinica directa: el modelo no genera falsos negativos completos en la direccion mas peligrosa (clasificar una lesion precancerosa como sana).</w:t>
      </w:r>
    </w:p>
    <w:p>
      <w:pPr>
        <w:spacing w:before="240"/>
        <w:jc w:val="left"/>
      </w:pPr>
      <w:r>
        <w:rPr>
          <w:rFonts w:ascii="Times New Roman" w:hAnsi="Times New Roman"/>
          <w:b/>
          <w:sz w:val="20"/>
        </w:rPr>
        <w:t>Tabla 6. Matriz de confusion del Bagging Tree (conjunto held-out).</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r>
          </w:p>
        </w:tc>
        <w:tc>
          <w:tcPr>
            <w:tcW w:type="dxa" w:w="2209"/>
          </w:tcPr>
          <w:p>
            <w:r>
              <w:rPr>
                <w:rFonts w:ascii="Times New Roman" w:hAnsi="Times New Roman"/>
                <w:b/>
                <w:sz w:val="20"/>
              </w:rPr>
              <w:t>Predicho: AA</w:t>
            </w:r>
          </w:p>
        </w:tc>
        <w:tc>
          <w:tcPr>
            <w:tcW w:type="dxa" w:w="2209"/>
          </w:tcPr>
          <w:p>
            <w:r>
              <w:rPr>
                <w:rFonts w:ascii="Times New Roman" w:hAnsi="Times New Roman"/>
                <w:b/>
                <w:sz w:val="20"/>
              </w:rPr>
              <w:t>Predicho: CCR</w:t>
            </w:r>
          </w:p>
        </w:tc>
        <w:tc>
          <w:tcPr>
            <w:tcW w:type="dxa" w:w="2209"/>
          </w:tcPr>
          <w:p>
            <w:r>
              <w:rPr>
                <w:rFonts w:ascii="Times New Roman" w:hAnsi="Times New Roman"/>
                <w:b/>
                <w:sz w:val="20"/>
              </w:rPr>
              <w:t>Predicho: CTRL</w:t>
            </w:r>
          </w:p>
        </w:tc>
      </w:tr>
      <w:tr>
        <w:tc>
          <w:tcPr>
            <w:tcW w:type="dxa" w:w="2209"/>
          </w:tcPr>
          <w:p>
            <w:r>
              <w:rPr>
                <w:rFonts w:ascii="Times New Roman" w:hAnsi="Times New Roman"/>
                <w:sz w:val="20"/>
              </w:rPr>
              <w:t>Real: AA</w:t>
            </w:r>
          </w:p>
        </w:tc>
        <w:tc>
          <w:tcPr>
            <w:tcW w:type="dxa" w:w="2209"/>
          </w:tcPr>
          <w:p>
            <w:r>
              <w:rPr>
                <w:rFonts w:ascii="Times New Roman" w:hAnsi="Times New Roman"/>
                <w:sz w:val="20"/>
              </w:rPr>
              <w:t>9</w:t>
            </w:r>
          </w:p>
        </w:tc>
        <w:tc>
          <w:tcPr>
            <w:tcW w:type="dxa" w:w="2209"/>
          </w:tcPr>
          <w:p>
            <w:r>
              <w:rPr>
                <w:rFonts w:ascii="Times New Roman" w:hAnsi="Times New Roman"/>
                <w:sz w:val="20"/>
              </w:rPr>
              <w:t>3</w:t>
            </w:r>
          </w:p>
        </w:tc>
        <w:tc>
          <w:tcPr>
            <w:tcW w:type="dxa" w:w="2209"/>
          </w:tcPr>
          <w:p>
            <w:r>
              <w:rPr>
                <w:rFonts w:ascii="Times New Roman" w:hAnsi="Times New Roman"/>
                <w:sz w:val="20"/>
              </w:rPr>
              <w:t>0</w:t>
            </w:r>
          </w:p>
        </w:tc>
      </w:tr>
      <w:tr>
        <w:tc>
          <w:tcPr>
            <w:tcW w:type="dxa" w:w="2209"/>
          </w:tcPr>
          <w:p>
            <w:r>
              <w:rPr>
                <w:rFonts w:ascii="Times New Roman" w:hAnsi="Times New Roman"/>
                <w:sz w:val="20"/>
              </w:rPr>
              <w:t>Real: CCR</w:t>
            </w:r>
          </w:p>
        </w:tc>
        <w:tc>
          <w:tcPr>
            <w:tcW w:type="dxa" w:w="2209"/>
          </w:tcPr>
          <w:p>
            <w:r>
              <w:rPr>
                <w:rFonts w:ascii="Times New Roman" w:hAnsi="Times New Roman"/>
                <w:sz w:val="20"/>
              </w:rPr>
              <w:t>0</w:t>
            </w:r>
          </w:p>
        </w:tc>
        <w:tc>
          <w:tcPr>
            <w:tcW w:type="dxa" w:w="2209"/>
          </w:tcPr>
          <w:p>
            <w:r>
              <w:rPr>
                <w:rFonts w:ascii="Times New Roman" w:hAnsi="Times New Roman"/>
                <w:sz w:val="20"/>
              </w:rPr>
              <w:t>14</w:t>
            </w:r>
          </w:p>
        </w:tc>
        <w:tc>
          <w:tcPr>
            <w:tcW w:type="dxa" w:w="2209"/>
          </w:tcPr>
          <w:p>
            <w:r>
              <w:rPr>
                <w:rFonts w:ascii="Times New Roman" w:hAnsi="Times New Roman"/>
                <w:sz w:val="20"/>
              </w:rPr>
              <w:t>1</w:t>
            </w:r>
          </w:p>
        </w:tc>
      </w:tr>
      <w:tr>
        <w:tc>
          <w:tcPr>
            <w:tcW w:type="dxa" w:w="2209"/>
          </w:tcPr>
          <w:p>
            <w:r>
              <w:rPr>
                <w:rFonts w:ascii="Times New Roman" w:hAnsi="Times New Roman"/>
                <w:sz w:val="20"/>
              </w:rPr>
              <w:t>Real: CTRL</w:t>
            </w:r>
          </w:p>
        </w:tc>
        <w:tc>
          <w:tcPr>
            <w:tcW w:type="dxa" w:w="2209"/>
          </w:tcPr>
          <w:p>
            <w:r>
              <w:rPr>
                <w:rFonts w:ascii="Times New Roman" w:hAnsi="Times New Roman"/>
                <w:sz w:val="20"/>
              </w:rPr>
              <w:t>0</w:t>
            </w:r>
          </w:p>
        </w:tc>
        <w:tc>
          <w:tcPr>
            <w:tcW w:type="dxa" w:w="2209"/>
          </w:tcPr>
          <w:p>
            <w:r>
              <w:rPr>
                <w:rFonts w:ascii="Times New Roman" w:hAnsi="Times New Roman"/>
                <w:sz w:val="20"/>
              </w:rPr>
              <w:t>2</w:t>
            </w:r>
          </w:p>
        </w:tc>
        <w:tc>
          <w:tcPr>
            <w:tcW w:type="dxa" w:w="2209"/>
          </w:tcPr>
          <w:p>
            <w:r>
              <w:rPr>
                <w:rFonts w:ascii="Times New Roman" w:hAnsi="Times New Roman"/>
                <w:sz w:val="20"/>
              </w:rPr>
              <w:t>14</w:t>
            </w:r>
          </w:p>
        </w:tc>
      </w:tr>
    </w:tbl>
    <w:p/>
    <w:p>
      <w:pPr>
        <w:spacing w:before="240" w:after="80"/>
        <w:jc w:val="left"/>
      </w:pPr>
      <w:r>
        <w:rPr>
          <w:rFonts w:ascii="Times New Roman" w:hAnsi="Times New Roman"/>
          <w:b/>
          <w:sz w:val="24"/>
        </w:rPr>
        <w:t>4.4 Importancia de variables</w:t>
      </w:r>
    </w:p>
    <w:p>
      <w:pPr>
        <w:ind w:firstLine="720"/>
        <w:jc w:val="both"/>
      </w:pPr>
      <w:r>
        <w:rPr>
          <w:rFonts w:ascii="Times New Roman" w:hAnsi="Times New Roman"/>
          <w:sz w:val="24"/>
        </w:rPr>
        <w:t>La Figura 1 (no incluida en esta version) muestra el ranking de importancia por impureza media (Gini) del Bagging Tree. La Tabla 7 presenta las 10 variables mas importantes. El biomarcador CE(20:5) (ester de colesterol con acido eicosapentaenoico, C20:5 omega-3) fue la variable mas discriminativa (importancia = 0.137), seguido de PC(O-16:0/16:0) (eter-fosfatidilcolina) y TG(51:4) (triacilglicerol). La variable clinica FIT ocupo la cuarta posicion (importancia = 0.111), indicando que los biomarcadores lipidomicos aportan informacion complementaria y superior a la prueba clinica estandar.</w:t>
      </w:r>
    </w:p>
    <w:p>
      <w:pPr>
        <w:spacing w:before="240"/>
        <w:jc w:val="left"/>
      </w:pPr>
      <w:r>
        <w:rPr>
          <w:rFonts w:ascii="Times New Roman" w:hAnsi="Times New Roman"/>
          <w:b/>
          <w:sz w:val="20"/>
        </w:rPr>
        <w:t>Tabla 7. Las 10 variables mas importantes del Bagging Tree.</w:t>
      </w:r>
    </w:p>
    <w:tbl>
      <w:tblPr>
        <w:tblStyle w:val="LightGrid-Accent1"/>
        <w:tblW w:type="auto" w:w="0"/>
        <w:jc w:val="center"/>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Posicion</w:t>
            </w:r>
          </w:p>
        </w:tc>
        <w:tc>
          <w:tcPr>
            <w:tcW w:type="dxa" w:w="2209"/>
          </w:tcPr>
          <w:p>
            <w:r>
              <w:rPr>
                <w:rFonts w:ascii="Times New Roman" w:hAnsi="Times New Roman"/>
                <w:b/>
                <w:sz w:val="20"/>
              </w:rPr>
              <w:t>Variable</w:t>
            </w:r>
          </w:p>
        </w:tc>
        <w:tc>
          <w:tcPr>
            <w:tcW w:type="dxa" w:w="2209"/>
          </w:tcPr>
          <w:p>
            <w:r>
              <w:rPr>
                <w:rFonts w:ascii="Times New Roman" w:hAnsi="Times New Roman"/>
                <w:b/>
                <w:sz w:val="20"/>
              </w:rPr>
              <w:t>Importancia</w:t>
            </w:r>
          </w:p>
        </w:tc>
        <w:tc>
          <w:tcPr>
            <w:tcW w:type="dxa" w:w="2209"/>
          </w:tcPr>
          <w:p>
            <w:r>
              <w:rPr>
                <w:rFonts w:ascii="Times New Roman" w:hAnsi="Times New Roman"/>
                <w:b/>
                <w:sz w:val="20"/>
              </w:rPr>
              <w:t>Tipo</w:t>
            </w:r>
          </w:p>
        </w:tc>
      </w:tr>
      <w:tr>
        <w:tc>
          <w:tcPr>
            <w:tcW w:type="dxa" w:w="2209"/>
          </w:tcPr>
          <w:p>
            <w:r>
              <w:rPr>
                <w:rFonts w:ascii="Times New Roman" w:hAnsi="Times New Roman"/>
                <w:sz w:val="20"/>
              </w:rPr>
              <w:t>1</w:t>
            </w:r>
          </w:p>
        </w:tc>
        <w:tc>
          <w:tcPr>
            <w:tcW w:type="dxa" w:w="2209"/>
          </w:tcPr>
          <w:p>
            <w:r>
              <w:rPr>
                <w:rFonts w:ascii="Times New Roman" w:hAnsi="Times New Roman"/>
                <w:sz w:val="20"/>
              </w:rPr>
              <w:t>CE(20:5)</w:t>
            </w:r>
          </w:p>
        </w:tc>
        <w:tc>
          <w:tcPr>
            <w:tcW w:type="dxa" w:w="2209"/>
          </w:tcPr>
          <w:p>
            <w:r>
              <w:rPr>
                <w:rFonts w:ascii="Times New Roman" w:hAnsi="Times New Roman"/>
                <w:sz w:val="20"/>
              </w:rPr>
              <w:t>0.137</w:t>
            </w:r>
          </w:p>
        </w:tc>
        <w:tc>
          <w:tcPr>
            <w:tcW w:type="dxa" w:w="2209"/>
          </w:tcPr>
          <w:p>
            <w:r>
              <w:rPr>
                <w:rFonts w:ascii="Times New Roman" w:hAnsi="Times New Roman"/>
                <w:sz w:val="20"/>
              </w:rPr>
              <w:t>Ester de colesterol</w:t>
            </w:r>
          </w:p>
        </w:tc>
      </w:tr>
      <w:tr>
        <w:tc>
          <w:tcPr>
            <w:tcW w:type="dxa" w:w="2209"/>
          </w:tcPr>
          <w:p>
            <w:r>
              <w:rPr>
                <w:rFonts w:ascii="Times New Roman" w:hAnsi="Times New Roman"/>
                <w:sz w:val="20"/>
              </w:rPr>
              <w:t>2</w:t>
            </w:r>
          </w:p>
        </w:tc>
        <w:tc>
          <w:tcPr>
            <w:tcW w:type="dxa" w:w="2209"/>
          </w:tcPr>
          <w:p>
            <w:r>
              <w:rPr>
                <w:rFonts w:ascii="Times New Roman" w:hAnsi="Times New Roman"/>
                <w:sz w:val="20"/>
              </w:rPr>
              <w:t>PC(O-16:0/16:0)</w:t>
            </w:r>
          </w:p>
        </w:tc>
        <w:tc>
          <w:tcPr>
            <w:tcW w:type="dxa" w:w="2209"/>
          </w:tcPr>
          <w:p>
            <w:r>
              <w:rPr>
                <w:rFonts w:ascii="Times New Roman" w:hAnsi="Times New Roman"/>
                <w:sz w:val="20"/>
              </w:rPr>
              <w:t>0.112</w:t>
            </w:r>
          </w:p>
        </w:tc>
        <w:tc>
          <w:tcPr>
            <w:tcW w:type="dxa" w:w="2209"/>
          </w:tcPr>
          <w:p>
            <w:r>
              <w:rPr>
                <w:rFonts w:ascii="Times New Roman" w:hAnsi="Times New Roman"/>
                <w:sz w:val="20"/>
              </w:rPr>
              <w:t>Eter-fosfatidilcolina</w:t>
            </w:r>
          </w:p>
        </w:tc>
      </w:tr>
      <w:tr>
        <w:tc>
          <w:tcPr>
            <w:tcW w:type="dxa" w:w="2209"/>
          </w:tcPr>
          <w:p>
            <w:r>
              <w:rPr>
                <w:rFonts w:ascii="Times New Roman" w:hAnsi="Times New Roman"/>
                <w:sz w:val="20"/>
              </w:rPr>
              <w:t>3</w:t>
            </w:r>
          </w:p>
        </w:tc>
        <w:tc>
          <w:tcPr>
            <w:tcW w:type="dxa" w:w="2209"/>
          </w:tcPr>
          <w:p>
            <w:r>
              <w:rPr>
                <w:rFonts w:ascii="Times New Roman" w:hAnsi="Times New Roman"/>
                <w:sz w:val="20"/>
              </w:rPr>
              <w:t>TG(51:4)</w:t>
            </w:r>
          </w:p>
        </w:tc>
        <w:tc>
          <w:tcPr>
            <w:tcW w:type="dxa" w:w="2209"/>
          </w:tcPr>
          <w:p>
            <w:r>
              <w:rPr>
                <w:rFonts w:ascii="Times New Roman" w:hAnsi="Times New Roman"/>
                <w:sz w:val="20"/>
              </w:rPr>
              <w:t>0.111</w:t>
            </w:r>
          </w:p>
        </w:tc>
        <w:tc>
          <w:tcPr>
            <w:tcW w:type="dxa" w:w="2209"/>
          </w:tcPr>
          <w:p>
            <w:r>
              <w:rPr>
                <w:rFonts w:ascii="Times New Roman" w:hAnsi="Times New Roman"/>
                <w:sz w:val="20"/>
              </w:rPr>
              <w:t>Triacilglicerol</w:t>
            </w:r>
          </w:p>
        </w:tc>
      </w:tr>
      <w:tr>
        <w:tc>
          <w:tcPr>
            <w:tcW w:type="dxa" w:w="2209"/>
          </w:tcPr>
          <w:p>
            <w:r>
              <w:rPr>
                <w:rFonts w:ascii="Times New Roman" w:hAnsi="Times New Roman"/>
                <w:sz w:val="20"/>
              </w:rPr>
              <w:t>4</w:t>
            </w:r>
          </w:p>
        </w:tc>
        <w:tc>
          <w:tcPr>
            <w:tcW w:type="dxa" w:w="2209"/>
          </w:tcPr>
          <w:p>
            <w:r>
              <w:rPr>
                <w:rFonts w:ascii="Times New Roman" w:hAnsi="Times New Roman"/>
                <w:sz w:val="20"/>
              </w:rPr>
              <w:t>FIT (microg/g)</w:t>
            </w:r>
          </w:p>
        </w:tc>
        <w:tc>
          <w:tcPr>
            <w:tcW w:type="dxa" w:w="2209"/>
          </w:tcPr>
          <w:p>
            <w:r>
              <w:rPr>
                <w:rFonts w:ascii="Times New Roman" w:hAnsi="Times New Roman"/>
                <w:sz w:val="20"/>
              </w:rPr>
              <w:t>0.111</w:t>
            </w:r>
          </w:p>
        </w:tc>
        <w:tc>
          <w:tcPr>
            <w:tcW w:type="dxa" w:w="2209"/>
          </w:tcPr>
          <w:p>
            <w:r>
              <w:rPr>
                <w:rFonts w:ascii="Times New Roman" w:hAnsi="Times New Roman"/>
                <w:sz w:val="20"/>
              </w:rPr>
              <w:t>Variable clinica</w:t>
            </w:r>
          </w:p>
        </w:tc>
      </w:tr>
      <w:tr>
        <w:tc>
          <w:tcPr>
            <w:tcW w:type="dxa" w:w="2209"/>
          </w:tcPr>
          <w:p>
            <w:r>
              <w:rPr>
                <w:rFonts w:ascii="Times New Roman" w:hAnsi="Times New Roman"/>
                <w:sz w:val="20"/>
              </w:rPr>
              <w:t>5</w:t>
            </w:r>
          </w:p>
        </w:tc>
        <w:tc>
          <w:tcPr>
            <w:tcW w:type="dxa" w:w="2209"/>
          </w:tcPr>
          <w:p>
            <w:r>
              <w:rPr>
                <w:rFonts w:ascii="Times New Roman" w:hAnsi="Times New Roman"/>
                <w:sz w:val="20"/>
              </w:rPr>
              <w:t>GlcCer(d18:1/24:0)</w:t>
            </w:r>
          </w:p>
        </w:tc>
        <w:tc>
          <w:tcPr>
            <w:tcW w:type="dxa" w:w="2209"/>
          </w:tcPr>
          <w:p>
            <w:r>
              <w:rPr>
                <w:rFonts w:ascii="Times New Roman" w:hAnsi="Times New Roman"/>
                <w:sz w:val="20"/>
              </w:rPr>
              <w:t>0.095</w:t>
            </w:r>
          </w:p>
        </w:tc>
        <w:tc>
          <w:tcPr>
            <w:tcW w:type="dxa" w:w="2209"/>
          </w:tcPr>
          <w:p>
            <w:r>
              <w:rPr>
                <w:rFonts w:ascii="Times New Roman" w:hAnsi="Times New Roman"/>
                <w:sz w:val="20"/>
              </w:rPr>
              <w:t>Glucosilceramida</w:t>
            </w:r>
          </w:p>
        </w:tc>
      </w:tr>
      <w:tr>
        <w:tc>
          <w:tcPr>
            <w:tcW w:type="dxa" w:w="2209"/>
          </w:tcPr>
          <w:p>
            <w:r>
              <w:rPr>
                <w:rFonts w:ascii="Times New Roman" w:hAnsi="Times New Roman"/>
                <w:sz w:val="20"/>
              </w:rPr>
              <w:t>6</w:t>
            </w:r>
          </w:p>
        </w:tc>
        <w:tc>
          <w:tcPr>
            <w:tcW w:type="dxa" w:w="2209"/>
          </w:tcPr>
          <w:p>
            <w:r>
              <w:rPr>
                <w:rFonts w:ascii="Times New Roman" w:hAnsi="Times New Roman"/>
                <w:sz w:val="20"/>
              </w:rPr>
              <w:t>SM(42:3)</w:t>
            </w:r>
          </w:p>
        </w:tc>
        <w:tc>
          <w:tcPr>
            <w:tcW w:type="dxa" w:w="2209"/>
          </w:tcPr>
          <w:p>
            <w:r>
              <w:rPr>
                <w:rFonts w:ascii="Times New Roman" w:hAnsi="Times New Roman"/>
                <w:sz w:val="20"/>
              </w:rPr>
              <w:t>0.077</w:t>
            </w:r>
          </w:p>
        </w:tc>
        <w:tc>
          <w:tcPr>
            <w:tcW w:type="dxa" w:w="2209"/>
          </w:tcPr>
          <w:p>
            <w:r>
              <w:rPr>
                <w:rFonts w:ascii="Times New Roman" w:hAnsi="Times New Roman"/>
                <w:sz w:val="20"/>
              </w:rPr>
              <w:t>Esfingomielina</w:t>
            </w:r>
          </w:p>
        </w:tc>
      </w:tr>
      <w:tr>
        <w:tc>
          <w:tcPr>
            <w:tcW w:type="dxa" w:w="2209"/>
          </w:tcPr>
          <w:p>
            <w:r>
              <w:rPr>
                <w:rFonts w:ascii="Times New Roman" w:hAnsi="Times New Roman"/>
                <w:sz w:val="20"/>
              </w:rPr>
              <w:t>7</w:t>
            </w:r>
          </w:p>
        </w:tc>
        <w:tc>
          <w:tcPr>
            <w:tcW w:type="dxa" w:w="2209"/>
          </w:tcPr>
          <w:p>
            <w:r>
              <w:rPr>
                <w:rFonts w:ascii="Times New Roman" w:hAnsi="Times New Roman"/>
                <w:sz w:val="20"/>
              </w:rPr>
              <w:t>SM(33:1)</w:t>
            </w:r>
          </w:p>
        </w:tc>
        <w:tc>
          <w:tcPr>
            <w:tcW w:type="dxa" w:w="2209"/>
          </w:tcPr>
          <w:p>
            <w:r>
              <w:rPr>
                <w:rFonts w:ascii="Times New Roman" w:hAnsi="Times New Roman"/>
                <w:sz w:val="20"/>
              </w:rPr>
              <w:t>0.064</w:t>
            </w:r>
          </w:p>
        </w:tc>
        <w:tc>
          <w:tcPr>
            <w:tcW w:type="dxa" w:w="2209"/>
          </w:tcPr>
          <w:p>
            <w:r>
              <w:rPr>
                <w:rFonts w:ascii="Times New Roman" w:hAnsi="Times New Roman"/>
                <w:sz w:val="20"/>
              </w:rPr>
              <w:t>Esfingomielina</w:t>
            </w:r>
          </w:p>
        </w:tc>
      </w:tr>
      <w:tr>
        <w:tc>
          <w:tcPr>
            <w:tcW w:type="dxa" w:w="2209"/>
          </w:tcPr>
          <w:p>
            <w:r>
              <w:rPr>
                <w:rFonts w:ascii="Times New Roman" w:hAnsi="Times New Roman"/>
                <w:sz w:val="20"/>
              </w:rPr>
              <w:t>8</w:t>
            </w:r>
          </w:p>
        </w:tc>
        <w:tc>
          <w:tcPr>
            <w:tcW w:type="dxa" w:w="2209"/>
          </w:tcPr>
          <w:p>
            <w:r>
              <w:rPr>
                <w:rFonts w:ascii="Times New Roman" w:hAnsi="Times New Roman"/>
                <w:sz w:val="20"/>
              </w:rPr>
              <w:t>PC(O-16:0/18:2)</w:t>
            </w:r>
          </w:p>
        </w:tc>
        <w:tc>
          <w:tcPr>
            <w:tcW w:type="dxa" w:w="2209"/>
          </w:tcPr>
          <w:p>
            <w:r>
              <w:rPr>
                <w:rFonts w:ascii="Times New Roman" w:hAnsi="Times New Roman"/>
                <w:sz w:val="20"/>
              </w:rPr>
              <w:t>0.062</w:t>
            </w:r>
          </w:p>
        </w:tc>
        <w:tc>
          <w:tcPr>
            <w:tcW w:type="dxa" w:w="2209"/>
          </w:tcPr>
          <w:p>
            <w:r>
              <w:rPr>
                <w:rFonts w:ascii="Times New Roman" w:hAnsi="Times New Roman"/>
                <w:sz w:val="20"/>
              </w:rPr>
              <w:t>Eter-fosfatidilcolina</w:t>
            </w:r>
          </w:p>
        </w:tc>
      </w:tr>
      <w:tr>
        <w:tc>
          <w:tcPr>
            <w:tcW w:type="dxa" w:w="2209"/>
          </w:tcPr>
          <w:p>
            <w:r>
              <w:rPr>
                <w:rFonts w:ascii="Times New Roman" w:hAnsi="Times New Roman"/>
                <w:sz w:val="20"/>
              </w:rPr>
              <w:t>9</w:t>
            </w:r>
          </w:p>
        </w:tc>
        <w:tc>
          <w:tcPr>
            <w:tcW w:type="dxa" w:w="2209"/>
          </w:tcPr>
          <w:p>
            <w:r>
              <w:rPr>
                <w:rFonts w:ascii="Times New Roman" w:hAnsi="Times New Roman"/>
                <w:sz w:val="20"/>
              </w:rPr>
              <w:t>PC(36:5)</w:t>
            </w:r>
          </w:p>
        </w:tc>
        <w:tc>
          <w:tcPr>
            <w:tcW w:type="dxa" w:w="2209"/>
          </w:tcPr>
          <w:p>
            <w:r>
              <w:rPr>
                <w:rFonts w:ascii="Times New Roman" w:hAnsi="Times New Roman"/>
                <w:sz w:val="20"/>
              </w:rPr>
              <w:t>0.062</w:t>
            </w:r>
          </w:p>
        </w:tc>
        <w:tc>
          <w:tcPr>
            <w:tcW w:type="dxa" w:w="2209"/>
          </w:tcPr>
          <w:p>
            <w:r>
              <w:rPr>
                <w:rFonts w:ascii="Times New Roman" w:hAnsi="Times New Roman"/>
                <w:sz w:val="20"/>
              </w:rPr>
              <w:t>Fosfatidilcolina</w:t>
            </w:r>
          </w:p>
        </w:tc>
      </w:tr>
      <w:tr>
        <w:tc>
          <w:tcPr>
            <w:tcW w:type="dxa" w:w="2209"/>
          </w:tcPr>
          <w:p>
            <w:r>
              <w:rPr>
                <w:rFonts w:ascii="Times New Roman" w:hAnsi="Times New Roman"/>
                <w:sz w:val="20"/>
              </w:rPr>
              <w:t>10</w:t>
            </w:r>
          </w:p>
        </w:tc>
        <w:tc>
          <w:tcPr>
            <w:tcW w:type="dxa" w:w="2209"/>
          </w:tcPr>
          <w:p>
            <w:r>
              <w:rPr>
                <w:rFonts w:ascii="Times New Roman" w:hAnsi="Times New Roman"/>
                <w:sz w:val="20"/>
              </w:rPr>
              <w:t>SM(d18:1/24:1)+SM(d18:2/24:0)</w:t>
            </w:r>
          </w:p>
        </w:tc>
        <w:tc>
          <w:tcPr>
            <w:tcW w:type="dxa" w:w="2209"/>
          </w:tcPr>
          <w:p>
            <w:r>
              <w:rPr>
                <w:rFonts w:ascii="Times New Roman" w:hAnsi="Times New Roman"/>
                <w:sz w:val="20"/>
              </w:rPr>
              <w:t>0.046</w:t>
            </w:r>
          </w:p>
        </w:tc>
        <w:tc>
          <w:tcPr>
            <w:tcW w:type="dxa" w:w="2209"/>
          </w:tcPr>
          <w:p>
            <w:r>
              <w:rPr>
                <w:rFonts w:ascii="Times New Roman" w:hAnsi="Times New Roman"/>
                <w:sz w:val="20"/>
              </w:rPr>
              <w:t>Esfingomielina</w:t>
            </w:r>
          </w:p>
        </w:tc>
      </w:tr>
    </w:tbl>
    <w:p/>
    <w:p>
      <w:pPr>
        <w:spacing w:before="240" w:after="80"/>
        <w:jc w:val="left"/>
      </w:pPr>
      <w:r>
        <w:rPr>
          <w:rFonts w:ascii="Times New Roman" w:hAnsi="Times New Roman"/>
          <w:b/>
          <w:sz w:val="24"/>
        </w:rPr>
        <w:t>4.5 Evolucion del rendimiento</w:t>
      </w:r>
    </w:p>
    <w:p>
      <w:pPr>
        <w:ind w:firstLine="720"/>
        <w:jc w:val="both"/>
      </w:pPr>
      <w:r>
        <w:rPr>
          <w:rFonts w:ascii="Times New Roman" w:hAnsi="Times New Roman"/>
          <w:sz w:val="24"/>
        </w:rPr>
        <w:t>La Tabla 8 traza la evolucion del rendimiento a lo largo del pipeline de modelado, demostrando mejora consistente desde el baseline lineal hasta el ensemble final.</w:t>
      </w:r>
    </w:p>
    <w:p>
      <w:pPr>
        <w:spacing w:before="240"/>
        <w:jc w:val="left"/>
      </w:pPr>
      <w:r>
        <w:rPr>
          <w:rFonts w:ascii="Times New Roman" w:hAnsi="Times New Roman"/>
          <w:b/>
          <w:sz w:val="20"/>
        </w:rPr>
        <w:t>Tabla 8. Evolucion del rendimiento a lo largo del pipeline de modelado.</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Fase</w:t>
            </w:r>
          </w:p>
        </w:tc>
        <w:tc>
          <w:tcPr>
            <w:tcW w:type="dxa" w:w="1768"/>
          </w:tcPr>
          <w:p>
            <w:r>
              <w:rPr>
                <w:rFonts w:ascii="Times New Roman" w:hAnsi="Times New Roman"/>
                <w:b/>
                <w:sz w:val="20"/>
              </w:rPr>
              <w:t>Modelo</w:t>
            </w:r>
          </w:p>
        </w:tc>
        <w:tc>
          <w:tcPr>
            <w:tcW w:type="dxa" w:w="1768"/>
          </w:tcPr>
          <w:p>
            <w:r>
              <w:rPr>
                <w:rFonts w:ascii="Times New Roman" w:hAnsi="Times New Roman"/>
                <w:b/>
                <w:sz w:val="20"/>
              </w:rPr>
              <w:t>F1 Macro</w:t>
            </w:r>
          </w:p>
        </w:tc>
        <w:tc>
          <w:tcPr>
            <w:tcW w:type="dxa" w:w="1768"/>
          </w:tcPr>
          <w:p>
            <w:r>
              <w:rPr>
                <w:rFonts w:ascii="Times New Roman" w:hAnsi="Times New Roman"/>
                <w:b/>
                <w:sz w:val="20"/>
              </w:rPr>
              <w:t>F1 AA</w:t>
            </w:r>
          </w:p>
        </w:tc>
        <w:tc>
          <w:tcPr>
            <w:tcW w:type="dxa" w:w="1768"/>
          </w:tcPr>
          <w:p>
            <w:r>
              <w:rPr>
                <w:rFonts w:ascii="Times New Roman" w:hAnsi="Times New Roman"/>
                <w:b/>
                <w:sz w:val="20"/>
              </w:rPr>
              <w:t>Recall AA</w:t>
            </w:r>
          </w:p>
        </w:tc>
      </w:tr>
      <w:tr>
        <w:tc>
          <w:tcPr>
            <w:tcW w:type="dxa" w:w="1768"/>
          </w:tcPr>
          <w:p>
            <w:r>
              <w:rPr>
                <w:rFonts w:ascii="Times New Roman" w:hAnsi="Times New Roman"/>
                <w:sz w:val="20"/>
              </w:rPr>
              <w:t>Baseline</w:t>
            </w:r>
          </w:p>
        </w:tc>
        <w:tc>
          <w:tcPr>
            <w:tcW w:type="dxa" w:w="1768"/>
          </w:tcPr>
          <w:p>
            <w:r>
              <w:rPr>
                <w:rFonts w:ascii="Times New Roman" w:hAnsi="Times New Roman"/>
                <w:sz w:val="20"/>
              </w:rPr>
              <w:t>Regresion Logistica</w:t>
            </w:r>
          </w:p>
        </w:tc>
        <w:tc>
          <w:tcPr>
            <w:tcW w:type="dxa" w:w="1768"/>
          </w:tcPr>
          <w:p>
            <w:r>
              <w:rPr>
                <w:rFonts w:ascii="Times New Roman" w:hAnsi="Times New Roman"/>
                <w:sz w:val="20"/>
              </w:rPr>
              <w:t>0.628</w:t>
            </w:r>
          </w:p>
        </w:tc>
        <w:tc>
          <w:tcPr>
            <w:tcW w:type="dxa" w:w="1768"/>
          </w:tcPr>
          <w:p>
            <w:r>
              <w:rPr>
                <w:rFonts w:ascii="Times New Roman" w:hAnsi="Times New Roman"/>
                <w:sz w:val="20"/>
              </w:rPr>
              <w:t>0.45</w:t>
            </w:r>
          </w:p>
        </w:tc>
        <w:tc>
          <w:tcPr>
            <w:tcW w:type="dxa" w:w="1768"/>
          </w:tcPr>
          <w:p>
            <w:r>
              <w:rPr>
                <w:rFonts w:ascii="Times New Roman" w:hAnsi="Times New Roman"/>
                <w:sz w:val="20"/>
              </w:rPr>
              <w:t>0.47</w:t>
            </w:r>
          </w:p>
        </w:tc>
      </w:tr>
      <w:tr>
        <w:tc>
          <w:tcPr>
            <w:tcW w:type="dxa" w:w="1768"/>
          </w:tcPr>
          <w:p>
            <w:r>
              <w:rPr>
                <w:rFonts w:ascii="Times New Roman" w:hAnsi="Times New Roman"/>
                <w:sz w:val="20"/>
              </w:rPr>
              <w:t>Individuales</w:t>
            </w:r>
          </w:p>
        </w:tc>
        <w:tc>
          <w:tcPr>
            <w:tcW w:type="dxa" w:w="1768"/>
          </w:tcPr>
          <w:p>
            <w:r>
              <w:rPr>
                <w:rFonts w:ascii="Times New Roman" w:hAnsi="Times New Roman"/>
                <w:sz w:val="20"/>
              </w:rPr>
              <w:t>Arbol de Decision</w:t>
            </w:r>
          </w:p>
        </w:tc>
        <w:tc>
          <w:tcPr>
            <w:tcW w:type="dxa" w:w="1768"/>
          </w:tcPr>
          <w:p>
            <w:r>
              <w:rPr>
                <w:rFonts w:ascii="Times New Roman" w:hAnsi="Times New Roman"/>
                <w:sz w:val="20"/>
              </w:rPr>
              <w:t>0.681</w:t>
            </w:r>
          </w:p>
        </w:tc>
        <w:tc>
          <w:tcPr>
            <w:tcW w:type="dxa" w:w="1768"/>
          </w:tcPr>
          <w:p>
            <w:r>
              <w:rPr>
                <w:rFonts w:ascii="Times New Roman" w:hAnsi="Times New Roman"/>
                <w:sz w:val="20"/>
              </w:rPr>
              <w:t>0.55</w:t>
            </w:r>
          </w:p>
        </w:tc>
        <w:tc>
          <w:tcPr>
            <w:tcW w:type="dxa" w:w="1768"/>
          </w:tcPr>
          <w:p>
            <w:r>
              <w:rPr>
                <w:rFonts w:ascii="Times New Roman" w:hAnsi="Times New Roman"/>
                <w:sz w:val="20"/>
              </w:rPr>
              <w:t>0.50</w:t>
            </w:r>
          </w:p>
        </w:tc>
      </w:tr>
      <w:tr>
        <w:tc>
          <w:tcPr>
            <w:tcW w:type="dxa" w:w="1768"/>
          </w:tcPr>
          <w:p>
            <w:r>
              <w:rPr>
                <w:rFonts w:ascii="Times New Roman" w:hAnsi="Times New Roman"/>
                <w:sz w:val="20"/>
              </w:rPr>
              <w:t>Ensembles</w:t>
            </w:r>
          </w:p>
        </w:tc>
        <w:tc>
          <w:tcPr>
            <w:tcW w:type="dxa" w:w="1768"/>
          </w:tcPr>
          <w:p>
            <w:r>
              <w:rPr>
                <w:rFonts w:ascii="Times New Roman" w:hAnsi="Times New Roman"/>
                <w:sz w:val="20"/>
              </w:rPr>
              <w:t>Bagging Tree</w:t>
            </w:r>
          </w:p>
        </w:tc>
        <w:tc>
          <w:tcPr>
            <w:tcW w:type="dxa" w:w="1768"/>
          </w:tcPr>
          <w:p>
            <w:r>
              <w:rPr>
                <w:rFonts w:ascii="Times New Roman" w:hAnsi="Times New Roman"/>
                <w:sz w:val="20"/>
              </w:rPr>
              <w:t>0.855</w:t>
            </w:r>
          </w:p>
        </w:tc>
        <w:tc>
          <w:tcPr>
            <w:tcW w:type="dxa" w:w="1768"/>
          </w:tcPr>
          <w:p>
            <w:r>
              <w:rPr>
                <w:rFonts w:ascii="Times New Roman" w:hAnsi="Times New Roman"/>
                <w:sz w:val="20"/>
              </w:rPr>
              <w:t>0.78</w:t>
            </w:r>
          </w:p>
        </w:tc>
        <w:tc>
          <w:tcPr>
            <w:tcW w:type="dxa" w:w="1768"/>
          </w:tcPr>
          <w:p>
            <w:r>
              <w:rPr>
                <w:rFonts w:ascii="Times New Roman" w:hAnsi="Times New Roman"/>
                <w:sz w:val="20"/>
              </w:rPr>
              <w:t>0.75</w:t>
            </w:r>
          </w:p>
        </w:tc>
      </w:tr>
    </w:tbl>
    <w:p/>
    <w:p>
      <w:pPr>
        <w:spacing w:before="240" w:after="80"/>
        <w:jc w:val="left"/>
      </w:pPr>
      <w:r>
        <w:rPr>
          <w:rFonts w:ascii="Times New Roman" w:hAnsi="Times New Roman"/>
          <w:b/>
          <w:sz w:val="24"/>
        </w:rPr>
        <w:t>4.6 Analisis Top-K: concentracion de senal discriminativa</w:t>
      </w:r>
    </w:p>
    <w:p>
      <w:pPr>
        <w:ind w:firstLine="720"/>
        <w:jc w:val="both"/>
      </w:pPr>
      <w:r>
        <w:rPr>
          <w:rFonts w:ascii="Times New Roman" w:hAnsi="Times New Roman"/>
          <w:sz w:val="24"/>
        </w:rPr>
        <w:t>Un analisis complementario evaluo si la senal discriminativa del modelo entrenado con todas las variables (X_full, 131 variables) podia concentrarse en un subconjunto reducido. El modelo Bagging Tree entrenado con X_full alcanzo un recall de AA de 0.833 (superior al 0.750 de X_intersect). Los subconjuntos Top-10, Top-15, Top-20 y Top-30 fueron evaluados en el conjunto held-out (Tabla 9).</w:t>
      </w:r>
    </w:p>
    <w:p>
      <w:pPr>
        <w:spacing w:before="240"/>
        <w:jc w:val="left"/>
      </w:pPr>
      <w:r>
        <w:rPr>
          <w:rFonts w:ascii="Times New Roman" w:hAnsi="Times New Roman"/>
          <w:b/>
          <w:sz w:val="20"/>
        </w:rPr>
        <w:t>Tabla 9. Analisis Top-K: rendimiento con subconjuntos de variables de X_full.</w:t>
      </w:r>
    </w:p>
    <w:tbl>
      <w:tblPr>
        <w:tblStyle w:val="LightGrid-Accent1"/>
        <w:tblW w:type="auto" w:w="0"/>
        <w:jc w:val="center"/>
        <w:tblLook w:firstColumn="1" w:firstRow="1" w:lastColumn="0" w:lastRow="0" w:noHBand="0" w:noVBand="1" w:val="04A0"/>
      </w:tblPr>
      <w:tblGrid>
        <w:gridCol w:w="1768"/>
        <w:gridCol w:w="1768"/>
        <w:gridCol w:w="1768"/>
        <w:gridCol w:w="1768"/>
        <w:gridCol w:w="1768"/>
      </w:tblGrid>
      <w:tr>
        <w:tc>
          <w:tcPr>
            <w:tcW w:type="dxa" w:w="1768"/>
          </w:tcPr>
          <w:p>
            <w:r>
              <w:rPr>
                <w:rFonts w:ascii="Times New Roman" w:hAnsi="Times New Roman"/>
                <w:b/>
                <w:sz w:val="20"/>
              </w:rPr>
              <w:t>Configuracion</w:t>
            </w:r>
          </w:p>
        </w:tc>
        <w:tc>
          <w:tcPr>
            <w:tcW w:type="dxa" w:w="1768"/>
          </w:tcPr>
          <w:p>
            <w:r>
              <w:rPr>
                <w:rFonts w:ascii="Times New Roman" w:hAnsi="Times New Roman"/>
                <w:b/>
                <w:sz w:val="20"/>
              </w:rPr>
              <w:t>n variables</w:t>
            </w:r>
          </w:p>
        </w:tc>
        <w:tc>
          <w:tcPr>
            <w:tcW w:type="dxa" w:w="1768"/>
          </w:tcPr>
          <w:p>
            <w:r>
              <w:rPr>
                <w:rFonts w:ascii="Times New Roman" w:hAnsi="Times New Roman"/>
                <w:b/>
                <w:sz w:val="20"/>
              </w:rPr>
              <w:t>F1 Macro</w:t>
            </w:r>
          </w:p>
        </w:tc>
        <w:tc>
          <w:tcPr>
            <w:tcW w:type="dxa" w:w="1768"/>
          </w:tcPr>
          <w:p>
            <w:r>
              <w:rPr>
                <w:rFonts w:ascii="Times New Roman" w:hAnsi="Times New Roman"/>
                <w:b/>
                <w:sz w:val="20"/>
              </w:rPr>
              <w:t>F1 AA</w:t>
            </w:r>
          </w:p>
        </w:tc>
        <w:tc>
          <w:tcPr>
            <w:tcW w:type="dxa" w:w="1768"/>
          </w:tcPr>
          <w:p>
            <w:r>
              <w:rPr>
                <w:rFonts w:ascii="Times New Roman" w:hAnsi="Times New Roman"/>
                <w:b/>
                <w:sz w:val="20"/>
              </w:rPr>
              <w:t>Recall AA</w:t>
            </w:r>
          </w:p>
        </w:tc>
      </w:tr>
      <w:tr>
        <w:tc>
          <w:tcPr>
            <w:tcW w:type="dxa" w:w="1768"/>
          </w:tcPr>
          <w:p>
            <w:r>
              <w:rPr>
                <w:rFonts w:ascii="Times New Roman" w:hAnsi="Times New Roman"/>
                <w:sz w:val="20"/>
              </w:rPr>
              <w:t>X_intersect (modelo final)</w:t>
            </w:r>
          </w:p>
        </w:tc>
        <w:tc>
          <w:tcPr>
            <w:tcW w:type="dxa" w:w="1768"/>
          </w:tcPr>
          <w:p>
            <w:r>
              <w:rPr>
                <w:rFonts w:ascii="Times New Roman" w:hAnsi="Times New Roman"/>
                <w:sz w:val="20"/>
              </w:rPr>
              <w:t>16</w:t>
            </w:r>
          </w:p>
        </w:tc>
        <w:tc>
          <w:tcPr>
            <w:tcW w:type="dxa" w:w="1768"/>
          </w:tcPr>
          <w:p>
            <w:r>
              <w:rPr>
                <w:rFonts w:ascii="Times New Roman" w:hAnsi="Times New Roman"/>
                <w:sz w:val="20"/>
              </w:rPr>
              <w:t>0.855</w:t>
            </w:r>
          </w:p>
        </w:tc>
        <w:tc>
          <w:tcPr>
            <w:tcW w:type="dxa" w:w="1768"/>
          </w:tcPr>
          <w:p>
            <w:r>
              <w:rPr>
                <w:rFonts w:ascii="Times New Roman" w:hAnsi="Times New Roman"/>
                <w:sz w:val="20"/>
              </w:rPr>
              <w:t>0.783</w:t>
            </w:r>
          </w:p>
        </w:tc>
        <w:tc>
          <w:tcPr>
            <w:tcW w:type="dxa" w:w="1768"/>
          </w:tcPr>
          <w:p>
            <w:r>
              <w:rPr>
                <w:rFonts w:ascii="Times New Roman" w:hAnsi="Times New Roman"/>
                <w:sz w:val="20"/>
              </w:rPr>
              <w:t>0.750</w:t>
            </w:r>
          </w:p>
        </w:tc>
      </w:tr>
      <w:tr>
        <w:tc>
          <w:tcPr>
            <w:tcW w:type="dxa" w:w="1768"/>
          </w:tcPr>
          <w:p>
            <w:r>
              <w:rPr>
                <w:rFonts w:ascii="Times New Roman" w:hAnsi="Times New Roman"/>
                <w:sz w:val="20"/>
              </w:rPr>
              <w:t>X_full</w:t>
            </w:r>
          </w:p>
        </w:tc>
        <w:tc>
          <w:tcPr>
            <w:tcW w:type="dxa" w:w="1768"/>
          </w:tcPr>
          <w:p>
            <w:r>
              <w:rPr>
                <w:rFonts w:ascii="Times New Roman" w:hAnsi="Times New Roman"/>
                <w:sz w:val="20"/>
              </w:rPr>
              <w:t>131</w:t>
            </w:r>
          </w:p>
        </w:tc>
        <w:tc>
          <w:tcPr>
            <w:tcW w:type="dxa" w:w="1768"/>
          </w:tcPr>
          <w:p>
            <w:r>
              <w:rPr>
                <w:rFonts w:ascii="Times New Roman" w:hAnsi="Times New Roman"/>
                <w:sz w:val="20"/>
              </w:rPr>
              <w:t>0.839</w:t>
            </w:r>
          </w:p>
        </w:tc>
        <w:tc>
          <w:tcPr>
            <w:tcW w:type="dxa" w:w="1768"/>
          </w:tcPr>
          <w:p>
            <w:r>
              <w:rPr>
                <w:rFonts w:ascii="Times New Roman" w:hAnsi="Times New Roman"/>
                <w:sz w:val="20"/>
              </w:rPr>
              <w:t>0.833</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Top-15</w:t>
            </w:r>
          </w:p>
        </w:tc>
        <w:tc>
          <w:tcPr>
            <w:tcW w:type="dxa" w:w="1768"/>
          </w:tcPr>
          <w:p>
            <w:r>
              <w:rPr>
                <w:rFonts w:ascii="Times New Roman" w:hAnsi="Times New Roman"/>
                <w:sz w:val="20"/>
              </w:rPr>
              <w:t>15</w:t>
            </w:r>
          </w:p>
        </w:tc>
        <w:tc>
          <w:tcPr>
            <w:tcW w:type="dxa" w:w="1768"/>
          </w:tcPr>
          <w:p>
            <w:r>
              <w:rPr>
                <w:rFonts w:ascii="Times New Roman" w:hAnsi="Times New Roman"/>
                <w:sz w:val="20"/>
              </w:rPr>
              <w:t>0.839</w:t>
            </w:r>
          </w:p>
        </w:tc>
        <w:tc>
          <w:tcPr>
            <w:tcW w:type="dxa" w:w="1768"/>
          </w:tcPr>
          <w:p>
            <w:r>
              <w:rPr>
                <w:rFonts w:ascii="Times New Roman" w:hAnsi="Times New Roman"/>
                <w:sz w:val="20"/>
              </w:rPr>
              <w:t>0.833</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Top-20</w:t>
            </w:r>
          </w:p>
        </w:tc>
        <w:tc>
          <w:tcPr>
            <w:tcW w:type="dxa" w:w="1768"/>
          </w:tcPr>
          <w:p>
            <w:r>
              <w:rPr>
                <w:rFonts w:ascii="Times New Roman" w:hAnsi="Times New Roman"/>
                <w:sz w:val="20"/>
              </w:rPr>
              <w:t>20</w:t>
            </w:r>
          </w:p>
        </w:tc>
        <w:tc>
          <w:tcPr>
            <w:tcW w:type="dxa" w:w="1768"/>
          </w:tcPr>
          <w:p>
            <w:r>
              <w:rPr>
                <w:rFonts w:ascii="Times New Roman" w:hAnsi="Times New Roman"/>
                <w:sz w:val="20"/>
              </w:rPr>
              <w:t>0.836</w:t>
            </w:r>
          </w:p>
        </w:tc>
        <w:tc>
          <w:tcPr>
            <w:tcW w:type="dxa" w:w="1768"/>
          </w:tcPr>
          <w:p>
            <w:r>
              <w:rPr>
                <w:rFonts w:ascii="Times New Roman" w:hAnsi="Times New Roman"/>
                <w:sz w:val="20"/>
              </w:rPr>
              <w:t>0.800</w:t>
            </w:r>
          </w:p>
        </w:tc>
        <w:tc>
          <w:tcPr>
            <w:tcW w:type="dxa" w:w="1768"/>
          </w:tcPr>
          <w:p>
            <w:r>
              <w:rPr>
                <w:rFonts w:ascii="Times New Roman" w:hAnsi="Times New Roman"/>
                <w:sz w:val="20"/>
              </w:rPr>
              <w:t>0.833</w:t>
            </w:r>
          </w:p>
        </w:tc>
      </w:tr>
      <w:tr>
        <w:tc>
          <w:tcPr>
            <w:tcW w:type="dxa" w:w="1768"/>
          </w:tcPr>
          <w:p>
            <w:r>
              <w:rPr>
                <w:rFonts w:ascii="Times New Roman" w:hAnsi="Times New Roman"/>
                <w:sz w:val="20"/>
              </w:rPr>
              <w:t>X_full Top-10</w:t>
            </w:r>
          </w:p>
        </w:tc>
        <w:tc>
          <w:tcPr>
            <w:tcW w:type="dxa" w:w="1768"/>
          </w:tcPr>
          <w:p>
            <w:r>
              <w:rPr>
                <w:rFonts w:ascii="Times New Roman" w:hAnsi="Times New Roman"/>
                <w:sz w:val="20"/>
              </w:rPr>
              <w:t>10</w:t>
            </w:r>
          </w:p>
        </w:tc>
        <w:tc>
          <w:tcPr>
            <w:tcW w:type="dxa" w:w="1768"/>
          </w:tcPr>
          <w:p>
            <w:r>
              <w:rPr>
                <w:rFonts w:ascii="Times New Roman" w:hAnsi="Times New Roman"/>
                <w:sz w:val="20"/>
              </w:rPr>
              <w:t>0.821</w:t>
            </w:r>
          </w:p>
        </w:tc>
        <w:tc>
          <w:tcPr>
            <w:tcW w:type="dxa" w:w="1768"/>
          </w:tcPr>
          <w:p>
            <w:r>
              <w:rPr>
                <w:rFonts w:ascii="Times New Roman" w:hAnsi="Times New Roman"/>
                <w:sz w:val="20"/>
              </w:rPr>
              <w:t>0.870</w:t>
            </w:r>
          </w:p>
        </w:tc>
        <w:tc>
          <w:tcPr>
            <w:tcW w:type="dxa" w:w="1768"/>
          </w:tcPr>
          <w:p>
            <w:r>
              <w:rPr>
                <w:rFonts w:ascii="Times New Roman" w:hAnsi="Times New Roman"/>
                <w:sz w:val="20"/>
              </w:rPr>
              <w:t>0.870</w:t>
            </w:r>
          </w:p>
        </w:tc>
      </w:tr>
    </w:tbl>
    <w:p/>
    <w:p>
      <w:pPr>
        <w:ind w:firstLine="720"/>
        <w:jc w:val="both"/>
      </w:pPr>
      <w:r>
        <w:rPr>
          <w:rFonts w:ascii="Times New Roman" w:hAnsi="Times New Roman"/>
          <w:sz w:val="24"/>
        </w:rPr>
        <w:t>El subconjunto Top-15 conservo el mismo recall de AA (0.833) y F1 de AA (0.833) que X_full completo, reduciendo la dimensionalidad en un 89%. Las 9 variables comunes entre X_intersect y Top-15 constituyen el nucleo robusto de biomarcadores validados por dos estrategias de seleccion independientes: CE(20:5), GlcCer(d18:1/24:0), PC(36:5), PC(O-16:0/16:0), PC(O-16:0/18:2), SM(33:1), SM(42:3), TG(51:4) y FIT.</w:t>
      </w:r>
    </w:p>
    <w:p>
      <w:pPr>
        <w:spacing w:before="360" w:after="120"/>
        <w:jc w:val="left"/>
      </w:pPr>
      <w:r>
        <w:rPr>
          <w:rFonts w:ascii="Times New Roman" w:hAnsi="Times New Roman"/>
          <w:b/>
          <w:sz w:val="28"/>
        </w:rPr>
        <w:t>5. Discusion</w:t>
      </w:r>
    </w:p>
    <w:p>
      <w:pPr>
        <w:ind w:firstLine="720"/>
        <w:jc w:val="both"/>
      </w:pPr>
      <w:r>
        <w:rPr>
          <w:rFonts w:ascii="Times New Roman" w:hAnsi="Times New Roman"/>
          <w:sz w:val="24"/>
        </w:rPr>
        <w:t>Los resultados de este estudio demuestran que los ensembles de arboles de decision, aplicados a biomarcadores lipidomicos sericos, logran la clasificacion efectiva de los tres estados de progresion del CCR, incluyendo la deteccion de adenomas avanzados donde los metodos quimiometricos convencionales fracasan. A continuacion se discuten los hallazgos principales en el contexto de la literatura existente y sus implicaciones clinicas.</w:t>
      </w:r>
    </w:p>
    <w:p>
      <w:pPr>
        <w:spacing w:before="240" w:after="80"/>
        <w:jc w:val="left"/>
      </w:pPr>
      <w:r>
        <w:rPr>
          <w:rFonts w:ascii="Times New Roman" w:hAnsi="Times New Roman"/>
          <w:b/>
          <w:sz w:val="24"/>
        </w:rPr>
        <w:t>5.1 Superioridad del enfoque ensemble sobre metodos convencionales</w:t>
      </w:r>
    </w:p>
    <w:p>
      <w:pPr>
        <w:ind w:firstLine="720"/>
        <w:jc w:val="both"/>
      </w:pPr>
      <w:r>
        <w:rPr>
          <w:rFonts w:ascii="Times New Roman" w:hAnsi="Times New Roman"/>
          <w:sz w:val="24"/>
        </w:rPr>
        <w:t>El resultado mas significativo clinicamente es la deteccion de adenomas avanzados con F1 = 0.78 y recall = 0.75. Alboniga et al. [8] reportaron F1 = 0 para la clase AA utilizando PLS-DA sobre los mismos datos. Esta diferencia se explica por la capacidad de los arboles de decision para capturar interacciones no lineales entre lipidos, combinada con la reduccion de varianza proporcionada por el mecanismo de bagging. La agregacion de 200 arboles entrenados con submuestras aleatorias (80% de muestras) estabiliza las predicciones en una clase inherentemente heterogenea como AA, donde los perfiles lipidomicos se solapan significativamente con los controles sanos.</w:t>
      </w:r>
    </w:p>
    <w:p>
      <w:pPr>
        <w:ind w:firstLine="720"/>
        <w:jc w:val="both"/>
      </w:pPr>
      <w:r>
        <w:rPr>
          <w:rFonts w:ascii="Times New Roman" w:hAnsi="Times New Roman"/>
          <w:sz w:val="24"/>
        </w:rPr>
        <w:t>La precision de 1.00 en controles sanos en el conjunto held-out indica que el modelo no genera falsos positivos en individuos sanos, lo cual es relevante para programas de tamizaje donde las colonoscopias innecesarias representan un costo significativo. El AUC macro de 0.945 confirma una capacidad discriminatoria excelente a traves de diferentes umbrales de decision.</w:t>
      </w:r>
    </w:p>
    <w:p>
      <w:pPr>
        <w:spacing w:before="240" w:after="80"/>
        <w:jc w:val="left"/>
      </w:pPr>
      <w:r>
        <w:rPr>
          <w:rFonts w:ascii="Times New Roman" w:hAnsi="Times New Roman"/>
          <w:b/>
          <w:sz w:val="24"/>
        </w:rPr>
        <w:t>5.2 Biomarcadores lipidomicos identificados</w:t>
      </w:r>
    </w:p>
    <w:p>
      <w:pPr>
        <w:ind w:firstLine="720"/>
        <w:jc w:val="both"/>
      </w:pPr>
      <w:r>
        <w:rPr>
          <w:rFonts w:ascii="Times New Roman" w:hAnsi="Times New Roman"/>
          <w:sz w:val="24"/>
        </w:rPr>
        <w:t>CE(20:5) (ester de colesterol con acido eicosapentaenoico) se posiciono como el biomarcador mas discriminativo. Este hallazgo tiene plausibilidad biologica: los esteres de colesterol estan implicados en la remodelacion de membranas tumorales y los acidos grasos omega-3, como el EPA (C20:5), participan en vias antiinflamatorias cuya desregulacion esta asociada a la carcinogenesis colorrectal [17,18]. La presencia de CE(20:5) y CE(20:4) como biomarcadores principales coincide con los hallazgos de Alboniga et al. [8], quienes los reportaron entre los metabolitos mas relevantes en su analisis (Tabla 3 del articulo original).</w:t>
      </w:r>
    </w:p>
    <w:p>
      <w:pPr>
        <w:ind w:firstLine="720"/>
        <w:jc w:val="both"/>
      </w:pPr>
      <w:r>
        <w:rPr>
          <w:rFonts w:ascii="Times New Roman" w:hAnsi="Times New Roman"/>
          <w:sz w:val="24"/>
        </w:rPr>
        <w:t>Las esfingomielinas (SM(42:3), SM(33:1)) y los eter-fosfolipidos (PC(O-16:0/16:0), PC(O-16:0/18:2)) representan familias lipidicas involucradas en la senalizacion celular y la resistencia a la apoptosis, procesos alterados en la progresion neoplasica [19]. La variable clinica FIT ocupo la cuarta posicion en el ranking de importancia, por debajo de tres biomarcadores lipidomicos, validando la hipotesis de que los lipidos aportan informacion complementaria y no redundante a las pruebas de tamizaje estandar.</w:t>
      </w:r>
    </w:p>
    <w:p>
      <w:pPr>
        <w:spacing w:before="240" w:after="80"/>
        <w:jc w:val="left"/>
      </w:pPr>
      <w:r>
        <w:rPr>
          <w:rFonts w:ascii="Times New Roman" w:hAnsi="Times New Roman"/>
          <w:b/>
          <w:sz w:val="24"/>
        </w:rPr>
        <w:t>5.3 Implicaciones clinicas</w:t>
      </w:r>
    </w:p>
    <w:p>
      <w:pPr>
        <w:ind w:firstLine="720"/>
        <w:jc w:val="both"/>
      </w:pPr>
      <w:r>
        <w:rPr>
          <w:rFonts w:ascii="Times New Roman" w:hAnsi="Times New Roman"/>
          <w:sz w:val="24"/>
        </w:rPr>
        <w:t>La combinacion de biomarcadores lipidomicos con la prueba FIT tiene el potencial de mejorar significativamente los protocolos de tamizaje del CCR. Con el FIT como unica herramienta, la sensibilidad para AA se estima entre 20-50% [4]. Nuestro modelo multimodal (lipidos + FIT) alcanzo recall de AA del 75%, una mejora sustancial. Un panel lipidomico dirigido (MRM/SRM) basado en los 9-15 biomarcadores identificados seria significativamente mas economico que la metabolomica no dirigida y potencialmente viable para tamizaje poblacional a gran escala.</w:t>
      </w:r>
    </w:p>
    <w:p>
      <w:pPr>
        <w:spacing w:before="240" w:after="80"/>
        <w:jc w:val="left"/>
      </w:pPr>
      <w:r>
        <w:rPr>
          <w:rFonts w:ascii="Times New Roman" w:hAnsi="Times New Roman"/>
          <w:b/>
          <w:sz w:val="24"/>
        </w:rPr>
        <w:t>5.4 Limitaciones</w:t>
      </w:r>
    </w:p>
    <w:p>
      <w:pPr>
        <w:ind w:firstLine="720"/>
        <w:jc w:val="both"/>
      </w:pPr>
      <w:r>
        <w:rPr>
          <w:rFonts w:ascii="Times New Roman" w:hAnsi="Times New Roman"/>
          <w:sz w:val="24"/>
        </w:rPr>
        <w:t>Este estudio presenta varias limitaciones que deben considerarse. Primero, el tamano muestral es limitado (n=211, test=43), lo que confiere varianza a las metricas held-out (estimada en +/- 0.02-0.05 F1). La estimacion mas conservadora del rendimiento externo es el F1 de validacion cruzada (0.802), no el held-out (0.855). Segundo, la cohorte proviene de un unico centro hospitalario (Ourense, Espana), lo que introduce potencial sesgo poblacional relacionado con dieta, genetica y protocolos clinicos. Tercero, el modelo presenta sobreajuste en entrenamiento (Train F1 = 1.00), con una brecha train-CV de ~0.20 que podria reducirse mediante regularizacion adicional (limitacion de max_depth, incremento de min_samples_leaf). Cuarto, el analisis Top-K se evaluo unicamente sobre el conjunto held-out sin validacion cruzada anidada, por lo que debe interpretarse como evidencia exploratoria. Finalmente, la explicabilidad del modelo se limita a la importancia por impureza media (Gini); la implementacion de SHAP (TreeExplainer) proporcionaria explicaciones por paciente individual, mejorando la confianza clinica.</w:t>
      </w:r>
    </w:p>
    <w:p>
      <w:pPr>
        <w:spacing w:before="360" w:after="120"/>
        <w:jc w:val="left"/>
      </w:pPr>
      <w:r>
        <w:rPr>
          <w:rFonts w:ascii="Times New Roman" w:hAnsi="Times New Roman"/>
          <w:b/>
          <w:sz w:val="28"/>
        </w:rPr>
        <w:t>6. Conclusiones</w:t>
      </w:r>
    </w:p>
    <w:p>
      <w:pPr>
        <w:ind w:firstLine="720"/>
        <w:jc w:val="both"/>
      </w:pPr>
      <w:r>
        <w:rPr>
          <w:rFonts w:ascii="Times New Roman" w:hAnsi="Times New Roman"/>
          <w:sz w:val="24"/>
        </w:rPr>
        <w:t>Este estudio demuestra que un pipeline de aprendizaje automatico basado en Bagging Tree, aplicado a 16 biomarcadores lipidomicos y variables clinicas, permite la clasificacion tripartita efectiva de la progresion del cancer colorrectal (Control/AA/CCR) con F1 macro = 0.855 y AUC = 0.945. El hallazgo mas relevante clinicamente es la deteccion de adenomas avanzados con F1 = 0.78, donde el metodo quimiometrico de referencia (PLS-DA) obtiene F1 = 0 sobre los mismos datos.</w:t>
      </w:r>
    </w:p>
    <w:p>
      <w:pPr>
        <w:ind w:firstLine="720"/>
        <w:jc w:val="both"/>
      </w:pPr>
      <w:r>
        <w:rPr>
          <w:rFonts w:ascii="Times New Roman" w:hAnsi="Times New Roman"/>
          <w:sz w:val="24"/>
        </w:rPr>
        <w:t>El biomarcador CE(20:5) se identifica como la variable mas discriminativa, con plausibilidad biologica en el metabolismo de acidos grasos omega-3 y la carcinogenesis colorrectal. La interseccion de 9 biomarcadores validados por dos estrategias de seleccion independientes constituye un panel candidato para ensayos de espectrometria de masas dirigida (MRM/SRM), potencialmente viable para tamizaje poblacional como complemento al FIT.</w:t>
      </w:r>
    </w:p>
    <w:p>
      <w:pPr>
        <w:ind w:firstLine="720"/>
        <w:jc w:val="both"/>
      </w:pPr>
      <w:r>
        <w:rPr>
          <w:rFonts w:ascii="Times New Roman" w:hAnsi="Times New Roman"/>
          <w:sz w:val="24"/>
        </w:rPr>
        <w:t>Los resultados validan que los perfiles lipidomicos complementan, pero no reemplazan, las pruebas de tamizaje estandar. La implementacion clinica requiere validacion externa multicentrica, aprobacion etica y evaluacion formal de costo-beneficio. El codigo fuente y el pipeline completo estan disponibles para garantizar la reproducibilidad de los resultados.</w:t>
      </w:r>
    </w:p>
    <w:p>
      <w:pPr>
        <w:spacing w:before="360" w:after="120"/>
        <w:jc w:val="left"/>
      </w:pPr>
      <w:r>
        <w:rPr>
          <w:rFonts w:ascii="Times New Roman" w:hAnsi="Times New Roman"/>
          <w:b/>
          <w:sz w:val="28"/>
        </w:rPr>
        <w:t>Declaraciones</w:t>
      </w:r>
    </w:p>
    <w:p>
      <w:pPr>
        <w:spacing w:before="240" w:after="80"/>
        <w:jc w:val="left"/>
      </w:pPr>
      <w:r>
        <w:rPr>
          <w:rFonts w:ascii="Times New Roman" w:hAnsi="Times New Roman"/>
          <w:b/>
          <w:sz w:val="24"/>
        </w:rPr>
        <w:t>Declaracion etica</w:t>
      </w:r>
    </w:p>
    <w:p>
      <w:pPr>
        <w:jc w:val="both"/>
      </w:pPr>
      <w:r>
        <w:rPr>
          <w:rFonts w:ascii="Times New Roman" w:hAnsi="Times New Roman"/>
          <w:sz w:val="24"/>
        </w:rPr>
        <w:t>Los datos utilizados en este estudio provienen del conjunto de datos publicado por Alboniga et al. [8], recopilado en el Hospital de Ourense (Galicia, Espana) bajo aprobacion del comite de etica institucional correspondiente. [NOTA: Completar con numero de referencia y fecha de la aprobacion etica original, o declaracion de uso de datos publicos segun corresponda.]</w:t>
      </w:r>
    </w:p>
    <w:p>
      <w:pPr>
        <w:spacing w:before="240" w:after="80"/>
        <w:jc w:val="left"/>
      </w:pPr>
      <w:r>
        <w:rPr>
          <w:rFonts w:ascii="Times New Roman" w:hAnsi="Times New Roman"/>
          <w:b/>
          <w:sz w:val="24"/>
        </w:rPr>
        <w:t>Disponibilidad de datos</w:t>
      </w:r>
    </w:p>
    <w:p>
      <w:pPr>
        <w:jc w:val="both"/>
      </w:pPr>
      <w:r>
        <w:rPr>
          <w:rFonts w:ascii="Times New Roman" w:hAnsi="Times New Roman"/>
          <w:sz w:val="24"/>
        </w:rPr>
        <w:t>[NOTA: Declarar la accesibilidad de los datos. Opciones: (a) Los datos estan disponibles como material suplementario del articulo de Alboniga et al. [8]; (b) Los datos estan disponibles previa solicitud a los autores originales; (c) Los datos estan depositados en [repositorio].]</w:t>
      </w:r>
    </w:p>
    <w:p>
      <w:pPr>
        <w:spacing w:before="240" w:after="80"/>
        <w:jc w:val="left"/>
      </w:pPr>
      <w:r>
        <w:rPr>
          <w:rFonts w:ascii="Times New Roman" w:hAnsi="Times New Roman"/>
          <w:b/>
          <w:sz w:val="24"/>
        </w:rPr>
        <w:t>Financiamiento</w:t>
      </w:r>
    </w:p>
    <w:p>
      <w:pPr>
        <w:jc w:val="both"/>
      </w:pPr>
      <w:r>
        <w:rPr>
          <w:rFonts w:ascii="Times New Roman" w:hAnsi="Times New Roman"/>
          <w:sz w:val="24"/>
        </w:rPr>
        <w:t>[NOTA: Completar. Si no hubo financiamiento: Esta investigacion no recibio financiamiento especifico de ninguna agencia del sector publico, comercial o sin animo de lucro.]</w:t>
      </w:r>
    </w:p>
    <w:p>
      <w:pPr>
        <w:spacing w:before="240" w:after="80"/>
        <w:jc w:val="left"/>
      </w:pPr>
      <w:r>
        <w:rPr>
          <w:rFonts w:ascii="Times New Roman" w:hAnsi="Times New Roman"/>
          <w:b/>
          <w:sz w:val="24"/>
        </w:rPr>
        <w:t>Conflicto de intereses</w:t>
      </w:r>
    </w:p>
    <w:p>
      <w:pPr>
        <w:jc w:val="both"/>
      </w:pPr>
      <w:r>
        <w:rPr>
          <w:rFonts w:ascii="Times New Roman" w:hAnsi="Times New Roman"/>
          <w:sz w:val="24"/>
        </w:rPr>
        <w:t>Los autores declaran no tener conflictos de intereses.</w:t>
      </w:r>
    </w:p>
    <w:p>
      <w:pPr>
        <w:spacing w:before="240" w:after="80"/>
        <w:jc w:val="left"/>
      </w:pPr>
      <w:r>
        <w:rPr>
          <w:rFonts w:ascii="Times New Roman" w:hAnsi="Times New Roman"/>
          <w:b/>
          <w:sz w:val="24"/>
        </w:rPr>
        <w:t>Uso de inteligencia artificial generativa</w:t>
      </w:r>
    </w:p>
    <w:p>
      <w:pPr>
        <w:jc w:val="both"/>
      </w:pPr>
      <w:r>
        <w:rPr>
          <w:rFonts w:ascii="Times New Roman" w:hAnsi="Times New Roman"/>
          <w:sz w:val="24"/>
        </w:rPr>
        <w:t>[NOTA: Declarar cualquier herramienta de IA generativa utilizada en la preparacion del manuscrito, incluyendo revision de literatura, analisis de datos, generacion de texto o figuras.]</w:t>
      </w:r>
    </w:p>
    <w:p>
      <w:pPr>
        <w:spacing w:before="240" w:after="80"/>
        <w:jc w:val="left"/>
      </w:pPr>
      <w:r>
        <w:rPr>
          <w:rFonts w:ascii="Times New Roman" w:hAnsi="Times New Roman"/>
          <w:b/>
          <w:sz w:val="24"/>
        </w:rPr>
        <w:t>Contribucion de los autores</w:t>
      </w:r>
    </w:p>
    <w:p>
      <w:pPr>
        <w:jc w:val="both"/>
      </w:pPr>
      <w:r>
        <w:rPr>
          <w:rFonts w:ascii="Times New Roman" w:hAnsi="Times New Roman"/>
          <w:sz w:val="24"/>
        </w:rPr>
        <w:t>[NOTA: Completar segun la taxonomia CRediT: Conceptualizacion, Metodologia, Software, Validacion, Analisis formal, Investigacion, Recursos, Curacion de datos, Escritura - borrador original, Escritura - revision y edicion, Visualizacion, Supervision, Administracion del proyecto.]</w:t>
      </w:r>
    </w:p>
    <w:p>
      <w:pPr>
        <w:spacing w:before="360" w:after="120"/>
        <w:jc w:val="left"/>
      </w:pPr>
      <w:r>
        <w:rPr>
          <w:rFonts w:ascii="Times New Roman" w:hAnsi="Times New Roman"/>
          <w:b/>
          <w:sz w:val="28"/>
        </w:rPr>
        <w:t>Referencias</w:t>
      </w:r>
    </w:p>
    <w:p>
      <w:pPr>
        <w:spacing w:after="40"/>
        <w:ind w:firstLine="0" w:left="283"/>
      </w:pPr>
      <w:r>
        <w:rPr>
          <w:rFonts w:ascii="Times New Roman" w:hAnsi="Times New Roman"/>
          <w:sz w:val="20"/>
        </w:rPr>
        <w:t>[1] H. Sung, J. Ferlay, R.L. Siegel, et al., Global Cancer Statistics 2020: GLOBOCAN estimates of incidence and mortality worldwide for 36 cancers in 185 countries, CA Cancer J. Clin. 71 (2021) 209-249.</w:t>
      </w:r>
    </w:p>
    <w:p>
      <w:pPr>
        <w:spacing w:after="40"/>
        <w:ind w:firstLine="0" w:left="283"/>
      </w:pPr>
      <w:r>
        <w:rPr>
          <w:rFonts w:ascii="Times New Roman" w:hAnsi="Times New Roman"/>
          <w:sz w:val="20"/>
        </w:rPr>
        <w:t>[2] E.R. Fearon, B. Vogelstein, A genetic model for colorectal tumorigenesis, Cell 61 (1990) 759-767.</w:t>
      </w:r>
    </w:p>
    <w:p>
      <w:pPr>
        <w:spacing w:after="40"/>
        <w:ind w:firstLine="0" w:left="283"/>
      </w:pPr>
      <w:r>
        <w:rPr>
          <w:rFonts w:ascii="Times New Roman" w:hAnsi="Times New Roman"/>
          <w:sz w:val="20"/>
        </w:rPr>
        <w:t>[3] S.J. Winawer, A.G. Zauber, M.N. Ho, et al., Prevention of colorectal cancer by colonoscopic polypectomy, N. Engl. J. Med. 329 (1993) 1977-1981.</w:t>
      </w:r>
    </w:p>
    <w:p>
      <w:pPr>
        <w:spacing w:after="40"/>
        <w:ind w:firstLine="0" w:left="283"/>
      </w:pPr>
      <w:r>
        <w:rPr>
          <w:rFonts w:ascii="Times New Roman" w:hAnsi="Times New Roman"/>
          <w:sz w:val="20"/>
        </w:rPr>
        <w:t>[4] J.E. Allison, I.S. Tekawa, L.J. Ransom, A.L. Adrain, A comparison of fecal occult-blood tests for colorectal-cancer screening, N. Engl. J. Med. 334 (1996) 155-160.</w:t>
      </w:r>
    </w:p>
    <w:p>
      <w:pPr>
        <w:spacing w:after="40"/>
        <w:ind w:firstLine="0" w:left="283"/>
      </w:pPr>
      <w:r>
        <w:rPr>
          <w:rFonts w:ascii="Times New Roman" w:hAnsi="Times New Roman"/>
          <w:sz w:val="20"/>
        </w:rPr>
        <w:t>[5] R.E. Schoen, P.F. Pinsky, J.L. Weissfeld, et al., Colorectal-cancer incidence and mortality with screening flexible sigmoidoscopy, N. Engl. J. Med. 366 (2012) 2345-2357.</w:t>
      </w:r>
    </w:p>
    <w:p>
      <w:pPr>
        <w:spacing w:after="40"/>
        <w:ind w:firstLine="0" w:left="283"/>
      </w:pPr>
      <w:r>
        <w:rPr>
          <w:rFonts w:ascii="Times New Roman" w:hAnsi="Times New Roman"/>
          <w:sz w:val="20"/>
        </w:rPr>
        <w:t>[6] J. Ecker, G. Liebisch, M. Englmaier, M. Grandl, H. Robenek, G. Schmitz, Induction of fatty acid synthesis is a key requirement for phagocytic differentiation of human monocytes, Proc. Natl. Acad. Sci. U.S.A. 107 (2010) 7817-7822.</w:t>
      </w:r>
    </w:p>
    <w:p>
      <w:pPr>
        <w:spacing w:after="40"/>
        <w:ind w:firstLine="0" w:left="283"/>
      </w:pPr>
      <w:r>
        <w:rPr>
          <w:rFonts w:ascii="Times New Roman" w:hAnsi="Times New Roman"/>
          <w:sz w:val="20"/>
        </w:rPr>
        <w:t>[7] M.A. Fernandez-Garcia, M.L. Ruiz-Canela, M.A. Martinez-Gonzalez, Lipidomics in colorectal cancer biomarker research, J. Lipid Res. 62 (2021) 100090.</w:t>
      </w:r>
    </w:p>
    <w:p>
      <w:pPr>
        <w:spacing w:after="40"/>
        <w:ind w:firstLine="0" w:left="283"/>
      </w:pPr>
      <w:r>
        <w:rPr>
          <w:rFonts w:ascii="Times New Roman" w:hAnsi="Times New Roman"/>
          <w:sz w:val="20"/>
        </w:rPr>
        <w:t>[8] O.E. Alboniga, J. Cubiella, L. Bujanda, P. Aspichueta, M.E. Blanco, B. Lanza, C. Alonso, J.M. Falcon-Perez, Metabolic signature in combination with fecal immunochemical test as a non-invasive tool for advanced colorectal neoplasia diagnosis, Cancers 17 (2025) 2339.</w:t>
      </w:r>
    </w:p>
    <w:p>
      <w:pPr>
        <w:spacing w:after="40"/>
        <w:ind w:firstLine="0" w:left="283"/>
      </w:pPr>
      <w:r>
        <w:rPr>
          <w:rFonts w:ascii="Times New Roman" w:hAnsi="Times New Roman"/>
          <w:sz w:val="20"/>
        </w:rPr>
        <w:t>[9] L. Breiman, Random forests, Mach. Learn. 45 (2001) 5-32.</w:t>
      </w:r>
    </w:p>
    <w:p>
      <w:pPr>
        <w:spacing w:after="40"/>
        <w:ind w:firstLine="0" w:left="283"/>
      </w:pPr>
      <w:r>
        <w:rPr>
          <w:rFonts w:ascii="Times New Roman" w:hAnsi="Times New Roman"/>
          <w:sz w:val="20"/>
        </w:rPr>
        <w:t>[10] L. Breiman, Bagging predictors, Mach. Learn. 24 (1996) 123-140.</w:t>
      </w:r>
    </w:p>
    <w:p>
      <w:pPr>
        <w:spacing w:after="40"/>
        <w:ind w:firstLine="0" w:left="283"/>
      </w:pPr>
      <w:r>
        <w:rPr>
          <w:rFonts w:ascii="Times New Roman" w:hAnsi="Times New Roman"/>
          <w:sz w:val="20"/>
        </w:rPr>
        <w:t>[11] S. Studer, T.B. Bui, C. Drescher, A. Hanuschkin, L. Winkler, S. Peters, K.R. Mueller, Towards CRISP-ML(Q): a machine learning process model with quality assurance methodology, Mach. Learn. Knowl. Extr. 3 (2021) 392-413.</w:t>
      </w:r>
    </w:p>
    <w:p>
      <w:pPr>
        <w:spacing w:after="40"/>
        <w:ind w:firstLine="0" w:left="283"/>
      </w:pPr>
      <w:r>
        <w:rPr>
          <w:rFonts w:ascii="Times New Roman" w:hAnsi="Times New Roman"/>
          <w:sz w:val="20"/>
        </w:rPr>
        <w:t>[12] A. Bychkov, N. Hashimoto, M. Nojima, et al., Deep learning in pathology - an overview, Cytometry A 93 (2018) 917-929.</w:t>
      </w:r>
    </w:p>
    <w:p>
      <w:pPr>
        <w:spacing w:after="40"/>
        <w:ind w:firstLine="0" w:left="283"/>
      </w:pPr>
      <w:r>
        <w:rPr>
          <w:rFonts w:ascii="Times New Roman" w:hAnsi="Times New Roman"/>
          <w:sz w:val="20"/>
        </w:rPr>
        <w:t>[13] R. Dienstmann, L. Vermeulen, J. Guinney, S. Kopetz, S. Tejpar, J. Tabernero, Consensus molecular subtypes and the evolution of precision medicine in colorectal cancer, Nat. Rev. Cancer 17 (2017) 79-92.</w:t>
      </w:r>
    </w:p>
    <w:p>
      <w:pPr>
        <w:spacing w:after="40"/>
        <w:ind w:firstLine="0" w:left="283"/>
      </w:pPr>
      <w:r>
        <w:rPr>
          <w:rFonts w:ascii="Times New Roman" w:hAnsi="Times New Roman"/>
          <w:sz w:val="20"/>
        </w:rPr>
        <w:t>[14] F. Pedregosa, G. Varoquaux, A. Gramfort, et al., Scikit-learn: machine learning in Python, J. Mach. Learn. Res. 12 (2011) 2825-2830.</w:t>
      </w:r>
    </w:p>
    <w:p>
      <w:pPr>
        <w:spacing w:after="40"/>
        <w:ind w:firstLine="0" w:left="283"/>
      </w:pPr>
      <w:r>
        <w:rPr>
          <w:rFonts w:ascii="Times New Roman" w:hAnsi="Times New Roman"/>
          <w:sz w:val="20"/>
        </w:rPr>
        <w:t>[15] S. Nishiumi, T. Kobayashi, A. Ikeda, et al., A novel serum metabolomics-based diagnostic approach for colorectal cancer, PLoS ONE 7 (2012) e40459.</w:t>
      </w:r>
    </w:p>
    <w:p>
      <w:pPr>
        <w:spacing w:after="40"/>
        <w:ind w:firstLine="0" w:left="283"/>
      </w:pPr>
      <w:r>
        <w:rPr>
          <w:rFonts w:ascii="Times New Roman" w:hAnsi="Times New Roman"/>
          <w:sz w:val="20"/>
        </w:rPr>
        <w:t>[16] F. Farshidfar, A.M. Weljie, K. Kopciuk, et al., Serum metabolomic profile as a means to distinguish stage of colorectal cancer, Genome Med. 4 (2012) 42.</w:t>
      </w:r>
    </w:p>
    <w:p>
      <w:pPr>
        <w:spacing w:after="40"/>
        <w:ind w:firstLine="0" w:left="283"/>
      </w:pPr>
      <w:r>
        <w:rPr>
          <w:rFonts w:ascii="Times New Roman" w:hAnsi="Times New Roman"/>
          <w:sz w:val="20"/>
        </w:rPr>
        <w:t>[17] A. Ferreri, P. Ferroni, R. Palmirotta, et al., Cholesteryl ester transfer protein and colorectal cancer: a Mendelian randomization study, Cancer Epidemiol. Biomarkers Prev. 28 (2019) 2019-2025.</w:t>
      </w:r>
    </w:p>
    <w:p>
      <w:pPr>
        <w:spacing w:after="40"/>
        <w:ind w:firstLine="0" w:left="283"/>
      </w:pPr>
      <w:r>
        <w:rPr>
          <w:rFonts w:ascii="Times New Roman" w:hAnsi="Times New Roman"/>
          <w:sz w:val="20"/>
        </w:rPr>
        <w:t>[18] R.J. Keogh, M.E. Courtney, A.J. Burn, et al., Omega-3 fatty acids and colorectal cancer prevention, Br. J. Cancer 113 (2015) 1056-1065.</w:t>
      </w:r>
    </w:p>
    <w:p>
      <w:pPr>
        <w:spacing w:after="40"/>
        <w:ind w:firstLine="0" w:left="283"/>
      </w:pPr>
      <w:r>
        <w:rPr>
          <w:rFonts w:ascii="Times New Roman" w:hAnsi="Times New Roman"/>
          <w:sz w:val="20"/>
        </w:rPr>
        <w:t>[19] N. Morad, M. Cabot, Ceramide-orchestrated signaling in cancer cells, Nat. Rev. Cancer 13 (2013) 51-65.</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