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E734" w14:textId="77777777" w:rsidR="00814E32" w:rsidRDefault="00814E32"/>
    <w:p w14:paraId="7ADD75F3" w14:textId="77777777" w:rsidR="00814E32" w:rsidRDefault="00814E32"/>
    <w:p w14:paraId="1D02F719" w14:textId="3B470DA2" w:rsidR="00814E32" w:rsidRPr="007809FB" w:rsidRDefault="007809FB">
      <w:pPr>
        <w:jc w:val="center"/>
        <w:rPr>
          <w:lang w:val="es-MX"/>
        </w:rPr>
      </w:pPr>
      <w:r>
        <w:rPr>
          <w:b/>
          <w:sz w:val="32"/>
          <w:lang w:val="es-MX"/>
        </w:rPr>
        <w:t>“</w:t>
      </w:r>
      <w:r w:rsidR="00000000" w:rsidRPr="007809FB">
        <w:rPr>
          <w:b/>
          <w:sz w:val="32"/>
          <w:lang w:val="es-MX"/>
        </w:rPr>
        <w:t>Clasificación multiclase interpretable de la progresión del cáncer colorrectal mediante aprendizaje automático basado en biomarcadores lipidómicos</w:t>
      </w:r>
      <w:r>
        <w:rPr>
          <w:b/>
          <w:sz w:val="32"/>
          <w:lang w:val="es-MX"/>
        </w:rPr>
        <w:t>”</w:t>
      </w:r>
    </w:p>
    <w:p w14:paraId="15CE2B76" w14:textId="77777777" w:rsidR="00814E32" w:rsidRPr="007809FB" w:rsidRDefault="00814E32">
      <w:pPr>
        <w:rPr>
          <w:lang w:val="es-MX"/>
        </w:rPr>
      </w:pPr>
    </w:p>
    <w:p w14:paraId="21661C3F" w14:textId="374E631B" w:rsidR="00814E32" w:rsidRPr="007809FB" w:rsidRDefault="007809FB" w:rsidP="007809FB">
      <w:pPr>
        <w:jc w:val="center"/>
        <w:rPr>
          <w:lang w:val="es-MX"/>
        </w:rPr>
      </w:pPr>
      <w:r>
        <w:rPr>
          <w:lang w:val="es-MX"/>
        </w:rPr>
        <w:t xml:space="preserve"> </w:t>
      </w:r>
      <w:r w:rsidRPr="007809FB">
        <w:rPr>
          <w:lang w:val="es-MX"/>
        </w:rPr>
        <w:t>Grettel Barceló Alonso (1</w:t>
      </w:r>
      <w:r w:rsidRPr="007809FB">
        <w:rPr>
          <w:lang w:val="es-MX"/>
        </w:rPr>
        <w:t>)</w:t>
      </w:r>
      <w:r>
        <w:rPr>
          <w:lang w:val="es-MX"/>
        </w:rPr>
        <w:t>, María</w:t>
      </w:r>
      <w:r w:rsidR="00000000" w:rsidRPr="007809FB">
        <w:rPr>
          <w:lang w:val="es-MX"/>
        </w:rPr>
        <w:t xml:space="preserve"> Virginia Mendizabal Miranda (1), Gianmel Joannelly Hernández Tosta (1), Sofía Ordaz López (1)</w:t>
      </w:r>
    </w:p>
    <w:p w14:paraId="65565036" w14:textId="77777777" w:rsidR="00814E32" w:rsidRPr="007809FB" w:rsidRDefault="00814E32">
      <w:pPr>
        <w:rPr>
          <w:lang w:val="es-MX"/>
        </w:rPr>
      </w:pPr>
    </w:p>
    <w:p w14:paraId="3B5011B7" w14:textId="77777777" w:rsidR="00814E32" w:rsidRPr="007809FB" w:rsidRDefault="00000000">
      <w:pPr>
        <w:jc w:val="center"/>
        <w:rPr>
          <w:lang w:val="es-MX"/>
        </w:rPr>
      </w:pPr>
      <w:r w:rsidRPr="007809FB">
        <w:rPr>
          <w:i/>
          <w:sz w:val="22"/>
          <w:lang w:val="es-MX"/>
        </w:rPr>
        <w:t>(1) Tecnológico de Monterrey, Escuela de Ingeniería y Ciencias, México</w:t>
      </w:r>
    </w:p>
    <w:p w14:paraId="09C47B1E" w14:textId="77777777" w:rsidR="00814E32" w:rsidRPr="007809FB" w:rsidRDefault="00814E32">
      <w:pPr>
        <w:rPr>
          <w:lang w:val="es-MX"/>
        </w:rPr>
      </w:pPr>
    </w:p>
    <w:p w14:paraId="51B3D503" w14:textId="77777777" w:rsidR="00814E32" w:rsidRPr="007809FB" w:rsidRDefault="00000000">
      <w:pPr>
        <w:jc w:val="center"/>
        <w:rPr>
          <w:lang w:val="es-MX"/>
        </w:rPr>
      </w:pPr>
      <w:r w:rsidRPr="007809FB">
        <w:rPr>
          <w:sz w:val="22"/>
          <w:lang w:val="es-MX"/>
        </w:rPr>
        <w:t>Autor de correspondencia: [nombre], [email], [teléfono]</w:t>
      </w:r>
    </w:p>
    <w:p w14:paraId="7AFFA6E2" w14:textId="77777777" w:rsidR="00814E32" w:rsidRPr="007809FB" w:rsidRDefault="00000000">
      <w:pPr>
        <w:rPr>
          <w:lang w:val="es-MX"/>
        </w:rPr>
      </w:pPr>
      <w:r w:rsidRPr="007809FB">
        <w:rPr>
          <w:lang w:val="es-MX"/>
        </w:rPr>
        <w:br w:type="page"/>
      </w:r>
    </w:p>
    <w:p w14:paraId="3CB2214A" w14:textId="77777777" w:rsidR="00814E32" w:rsidRPr="007809FB" w:rsidRDefault="00000000">
      <w:pPr>
        <w:spacing w:before="360" w:after="120"/>
        <w:rPr>
          <w:lang w:val="es-MX"/>
        </w:rPr>
      </w:pPr>
      <w:r w:rsidRPr="007809FB">
        <w:rPr>
          <w:b/>
          <w:sz w:val="28"/>
          <w:lang w:val="es-MX"/>
        </w:rPr>
        <w:lastRenderedPageBreak/>
        <w:t>Resumen</w:t>
      </w:r>
    </w:p>
    <w:p w14:paraId="18B3F105" w14:textId="77777777" w:rsidR="00814E32" w:rsidRPr="007809FB" w:rsidRDefault="00000000" w:rsidP="007809FB">
      <w:pPr>
        <w:jc w:val="both"/>
        <w:rPr>
          <w:lang w:val="es-MX"/>
        </w:rPr>
      </w:pPr>
      <w:r w:rsidRPr="007809FB">
        <w:rPr>
          <w:b/>
          <w:lang w:val="es-MX"/>
        </w:rPr>
        <w:t xml:space="preserve">Contexto y Objetivos: </w:t>
      </w:r>
      <w:r w:rsidRPr="007809FB">
        <w:rPr>
          <w:lang w:val="es-MX"/>
        </w:rPr>
        <w:t xml:space="preserve">El cáncer colorrectal (CCR) es una de las neoplasias más frecuentes a nivel mundial y representa una de las principales causas de mortalidad asociada al cáncer. Las pruebas de tamizaje actuales, como la prueba inmunoquímica fecal (FIT), presentan sensibilidad limitada para la detección de adenomas avanzados (AA), lesiones precancerosas cuya remoción oportuna previene la progresión a carcinoma. Los métodos </w:t>
      </w:r>
      <w:proofErr w:type="spellStart"/>
      <w:r w:rsidRPr="007809FB">
        <w:rPr>
          <w:lang w:val="es-MX"/>
        </w:rPr>
        <w:t>quimiométricos</w:t>
      </w:r>
      <w:proofErr w:type="spellEnd"/>
      <w:r w:rsidRPr="007809FB">
        <w:rPr>
          <w:lang w:val="es-MX"/>
        </w:rPr>
        <w:t xml:space="preserve"> convencionales (PLS-DA) aplicados a datos lipidómicos han mostrado limitaciones para discriminar la clase AA en esquemas multiclase. El objetivo de este estudio fue desarrollar y evaluar un pipeline de aprendizaje automático basado en </w:t>
      </w:r>
      <w:proofErr w:type="spellStart"/>
      <w:r w:rsidRPr="007809FB">
        <w:rPr>
          <w:lang w:val="es-MX"/>
        </w:rPr>
        <w:t>ensembles</w:t>
      </w:r>
      <w:proofErr w:type="spellEnd"/>
      <w:r w:rsidRPr="007809FB">
        <w:rPr>
          <w:lang w:val="es-MX"/>
        </w:rPr>
        <w:t xml:space="preserve"> de árboles de decisión para la clasificación tripartita (Control/AA/CCR) utilizando biomarcadores lipidómicos séricos.</w:t>
      </w:r>
    </w:p>
    <w:p w14:paraId="4A321E30" w14:textId="77777777" w:rsidR="00814E32" w:rsidRPr="007809FB" w:rsidRDefault="00000000" w:rsidP="007809FB">
      <w:pPr>
        <w:jc w:val="both"/>
        <w:rPr>
          <w:lang w:val="es-MX"/>
        </w:rPr>
      </w:pPr>
      <w:r w:rsidRPr="007809FB">
        <w:rPr>
          <w:b/>
          <w:lang w:val="es-MX"/>
        </w:rPr>
        <w:t xml:space="preserve">Métodos: </w:t>
      </w:r>
      <w:r w:rsidRPr="007809FB">
        <w:rPr>
          <w:lang w:val="es-MX"/>
        </w:rPr>
        <w:t xml:space="preserve">Se utilizó una cohorte de 211 pacientes (78 controles, 58 AA, 75 CCR) cuyos perfiles lipidómicos fueron obtenidos mediante cromatografía líquida de ultra alta resolución acoplada a espectrometría de masas (UHPLC-MS), con 127 lípidos cuantificados. El pipeline de preprocesamiento incluyó imputación por mediana de grupo (validada contra MICE mediante norma de Frobenius), transformación Box-Cox y selección de características por intersección de Información Mutua y ANOVA (16 variables finales). Se compararon 14 modelos: 6 clasificadores individuales y 8 </w:t>
      </w:r>
      <w:proofErr w:type="spellStart"/>
      <w:r w:rsidRPr="007809FB">
        <w:rPr>
          <w:lang w:val="es-MX"/>
        </w:rPr>
        <w:t>ensembles</w:t>
      </w:r>
      <w:proofErr w:type="spellEnd"/>
      <w:r w:rsidRPr="007809FB">
        <w:rPr>
          <w:lang w:val="es-MX"/>
        </w:rPr>
        <w:t xml:space="preserve"> (5 homogéneos, 2 heterogéneos, 1 individual de referencia). La evaluación se realizó mediante validación cruzada estratificada de 5 particiones y conjunto </w:t>
      </w:r>
      <w:proofErr w:type="spellStart"/>
      <w:r w:rsidRPr="007809FB">
        <w:rPr>
          <w:lang w:val="es-MX"/>
        </w:rPr>
        <w:t>held-out</w:t>
      </w:r>
      <w:proofErr w:type="spellEnd"/>
      <w:r w:rsidRPr="007809FB">
        <w:rPr>
          <w:lang w:val="es-MX"/>
        </w:rPr>
        <w:t xml:space="preserve"> independiente (n=43). La interpretabilidad del modelo se analizó mediante SHAP (</w:t>
      </w:r>
      <w:proofErr w:type="spellStart"/>
      <w:r w:rsidRPr="007809FB">
        <w:rPr>
          <w:lang w:val="es-MX"/>
        </w:rPr>
        <w:t>SHapley</w:t>
      </w:r>
      <w:proofErr w:type="spellEnd"/>
      <w:r w:rsidRPr="007809FB">
        <w:rPr>
          <w:lang w:val="es-MX"/>
        </w:rPr>
        <w:t xml:space="preserve"> </w:t>
      </w:r>
      <w:proofErr w:type="spellStart"/>
      <w:r w:rsidRPr="007809FB">
        <w:rPr>
          <w:lang w:val="es-MX"/>
        </w:rPr>
        <w:t>Additive</w:t>
      </w:r>
      <w:proofErr w:type="spellEnd"/>
      <w:r w:rsidRPr="007809FB">
        <w:rPr>
          <w:lang w:val="es-MX"/>
        </w:rPr>
        <w:t xml:space="preserve"> </w:t>
      </w:r>
      <w:proofErr w:type="spellStart"/>
      <w:r w:rsidRPr="007809FB">
        <w:rPr>
          <w:lang w:val="es-MX"/>
        </w:rPr>
        <w:t>exPlanations</w:t>
      </w:r>
      <w:proofErr w:type="spellEnd"/>
      <w:r w:rsidRPr="007809FB">
        <w:rPr>
          <w:lang w:val="es-MX"/>
        </w:rPr>
        <w:t xml:space="preserve">) con </w:t>
      </w:r>
      <w:proofErr w:type="spellStart"/>
      <w:r w:rsidRPr="007809FB">
        <w:rPr>
          <w:lang w:val="es-MX"/>
        </w:rPr>
        <w:t>TreeExplainer</w:t>
      </w:r>
      <w:proofErr w:type="spellEnd"/>
      <w:r w:rsidRPr="007809FB">
        <w:rPr>
          <w:lang w:val="es-MX"/>
        </w:rPr>
        <w:t>.</w:t>
      </w:r>
    </w:p>
    <w:p w14:paraId="7FBCFB50" w14:textId="77777777" w:rsidR="00814E32" w:rsidRPr="007809FB" w:rsidRDefault="00000000" w:rsidP="007809FB">
      <w:pPr>
        <w:jc w:val="both"/>
        <w:rPr>
          <w:lang w:val="es-MX"/>
        </w:rPr>
      </w:pPr>
      <w:r w:rsidRPr="007809FB">
        <w:rPr>
          <w:b/>
          <w:lang w:val="es-MX"/>
        </w:rPr>
        <w:lastRenderedPageBreak/>
        <w:t xml:space="preserve">Resultados: </w:t>
      </w:r>
      <w:r w:rsidRPr="007809FB">
        <w:rPr>
          <w:lang w:val="es-MX"/>
        </w:rPr>
        <w:t xml:space="preserve">El modelo </w:t>
      </w:r>
      <w:proofErr w:type="spellStart"/>
      <w:r w:rsidRPr="007809FB">
        <w:rPr>
          <w:lang w:val="es-MX"/>
        </w:rPr>
        <w:t>Bagging</w:t>
      </w:r>
      <w:proofErr w:type="spellEnd"/>
      <w:r w:rsidRPr="007809FB">
        <w:rPr>
          <w:lang w:val="es-MX"/>
        </w:rPr>
        <w:t xml:space="preserve"> Tree alcanzó F1 macro = 0.855 y AUC macro = 0.945 en el conjunto </w:t>
      </w:r>
      <w:proofErr w:type="spellStart"/>
      <w:r w:rsidRPr="007809FB">
        <w:rPr>
          <w:lang w:val="es-MX"/>
        </w:rPr>
        <w:t>held-out</w:t>
      </w:r>
      <w:proofErr w:type="spellEnd"/>
      <w:r w:rsidRPr="007809FB">
        <w:rPr>
          <w:lang w:val="es-MX"/>
        </w:rPr>
        <w:t xml:space="preserve">. La identificación de adenomas avanzados presentó la mayor dificultad debido a la similitud de sus perfiles lipidómicos con el grupo de cáncer colorrectal confirmado (CCR). A pesar de ello, el modelo logró F1 = 0.78 y </w:t>
      </w:r>
      <w:proofErr w:type="spellStart"/>
      <w:r w:rsidRPr="007809FB">
        <w:rPr>
          <w:lang w:val="es-MX"/>
        </w:rPr>
        <w:t>recall</w:t>
      </w:r>
      <w:proofErr w:type="spellEnd"/>
      <w:r w:rsidRPr="007809FB">
        <w:rPr>
          <w:lang w:val="es-MX"/>
        </w:rPr>
        <w:t xml:space="preserve"> = 0.75 para la clase AA. La precisión en controles sanos fue de 1.00, minimizando falsos positivos. El análisis SHAP reveló que </w:t>
      </w:r>
      <w:proofErr w:type="gramStart"/>
      <w:r w:rsidRPr="007809FB">
        <w:rPr>
          <w:lang w:val="es-MX"/>
        </w:rPr>
        <w:t>CE(</w:t>
      </w:r>
      <w:proofErr w:type="gramEnd"/>
      <w:r w:rsidRPr="007809FB">
        <w:rPr>
          <w:lang w:val="es-MX"/>
        </w:rPr>
        <w:t xml:space="preserve">20:5) es el biomarcador con mayor contribución global (media |SHAP| = 0.070), con roles diferenciados por clase: PC(O-16:0/16:0) es el predictor principal para AA, FIT para CCR, y </w:t>
      </w:r>
      <w:proofErr w:type="gramStart"/>
      <w:r w:rsidRPr="007809FB">
        <w:rPr>
          <w:lang w:val="es-MX"/>
        </w:rPr>
        <w:t>CE(</w:t>
      </w:r>
      <w:proofErr w:type="gramEnd"/>
      <w:r w:rsidRPr="007809FB">
        <w:rPr>
          <w:lang w:val="es-MX"/>
        </w:rPr>
        <w:t xml:space="preserve">20:5) para CTRL. Un análisis complementario demostró que 15 variables del conjunto completo conservan el mismo </w:t>
      </w:r>
      <w:proofErr w:type="spellStart"/>
      <w:r w:rsidRPr="007809FB">
        <w:rPr>
          <w:lang w:val="es-MX"/>
        </w:rPr>
        <w:t>recall</w:t>
      </w:r>
      <w:proofErr w:type="spellEnd"/>
      <w:r w:rsidRPr="007809FB">
        <w:rPr>
          <w:lang w:val="es-MX"/>
        </w:rPr>
        <w:t xml:space="preserve"> de AA (0.833), reduciendo la dimensionalidad en un 89%.</w:t>
      </w:r>
    </w:p>
    <w:p w14:paraId="10023123" w14:textId="77777777" w:rsidR="00814E32" w:rsidRPr="007809FB" w:rsidRDefault="00000000" w:rsidP="007809FB">
      <w:pPr>
        <w:jc w:val="both"/>
        <w:rPr>
          <w:lang w:val="es-MX"/>
        </w:rPr>
      </w:pPr>
      <w:r w:rsidRPr="007809FB">
        <w:rPr>
          <w:b/>
          <w:lang w:val="es-MX"/>
        </w:rPr>
        <w:t xml:space="preserve">Conclusiones: </w:t>
      </w:r>
      <w:r w:rsidRPr="007809FB">
        <w:rPr>
          <w:lang w:val="es-MX"/>
        </w:rPr>
        <w:t xml:space="preserve">Los perfiles lipidómicos analizados mediante </w:t>
      </w:r>
      <w:proofErr w:type="spellStart"/>
      <w:r w:rsidRPr="007809FB">
        <w:rPr>
          <w:lang w:val="es-MX"/>
        </w:rPr>
        <w:t>ensembles</w:t>
      </w:r>
      <w:proofErr w:type="spellEnd"/>
      <w:r w:rsidRPr="007809FB">
        <w:rPr>
          <w:lang w:val="es-MX"/>
        </w:rPr>
        <w:t xml:space="preserve"> de árboles de decisión permiten la clasificación efectiva de los tres estados de progresión del CCR, incluyendo la detección de adenomas avanzados donde los métodos </w:t>
      </w:r>
      <w:proofErr w:type="spellStart"/>
      <w:r w:rsidRPr="007809FB">
        <w:rPr>
          <w:lang w:val="es-MX"/>
        </w:rPr>
        <w:t>quimiométricos</w:t>
      </w:r>
      <w:proofErr w:type="spellEnd"/>
      <w:r w:rsidRPr="007809FB">
        <w:rPr>
          <w:lang w:val="es-MX"/>
        </w:rPr>
        <w:t xml:space="preserve"> convencionales fracasan. El análisis SHAP proporciona </w:t>
      </w:r>
      <w:proofErr w:type="spellStart"/>
      <w:r w:rsidRPr="007809FB">
        <w:rPr>
          <w:lang w:val="es-MX"/>
        </w:rPr>
        <w:t>explicabilidad</w:t>
      </w:r>
      <w:proofErr w:type="spellEnd"/>
      <w:r w:rsidRPr="007809FB">
        <w:rPr>
          <w:lang w:val="es-MX"/>
        </w:rPr>
        <w:t xml:space="preserve"> a nivel de paciente individual, facilitando la adopción clínica. Los resultados sugieren que un panel </w:t>
      </w:r>
      <w:proofErr w:type="spellStart"/>
      <w:r w:rsidRPr="007809FB">
        <w:rPr>
          <w:lang w:val="es-MX"/>
        </w:rPr>
        <w:t>lipidómico</w:t>
      </w:r>
      <w:proofErr w:type="spellEnd"/>
      <w:r w:rsidRPr="007809FB">
        <w:rPr>
          <w:lang w:val="es-MX"/>
        </w:rPr>
        <w:t xml:space="preserve"> reducido complementa la prueba FIT para el tamizaje no invasivo del CCR, aunque se requiere validación externa multicéntrica antes de su implementación clínica.</w:t>
      </w:r>
    </w:p>
    <w:p w14:paraId="3F23D5F8" w14:textId="77777777" w:rsidR="00814E32" w:rsidRPr="007809FB" w:rsidRDefault="00814E32" w:rsidP="007809FB">
      <w:pPr>
        <w:jc w:val="both"/>
        <w:rPr>
          <w:lang w:val="es-MX"/>
        </w:rPr>
      </w:pPr>
    </w:p>
    <w:p w14:paraId="5CD46528" w14:textId="77777777" w:rsidR="00814E32" w:rsidRPr="007809FB" w:rsidRDefault="00000000" w:rsidP="007809FB">
      <w:pPr>
        <w:jc w:val="both"/>
        <w:rPr>
          <w:lang w:val="es-MX"/>
        </w:rPr>
      </w:pPr>
      <w:r w:rsidRPr="007809FB">
        <w:rPr>
          <w:b/>
          <w:lang w:val="es-MX"/>
        </w:rPr>
        <w:t xml:space="preserve">Palabras clave: </w:t>
      </w:r>
      <w:r w:rsidRPr="007809FB">
        <w:rPr>
          <w:lang w:val="es-MX"/>
        </w:rPr>
        <w:t xml:space="preserve">cáncer colorrectal; </w:t>
      </w:r>
      <w:proofErr w:type="spellStart"/>
      <w:r w:rsidRPr="007809FB">
        <w:rPr>
          <w:lang w:val="es-MX"/>
        </w:rPr>
        <w:t>lipidómica</w:t>
      </w:r>
      <w:proofErr w:type="spellEnd"/>
      <w:r w:rsidRPr="007809FB">
        <w:rPr>
          <w:lang w:val="es-MX"/>
        </w:rPr>
        <w:t>; aprendizaje automático; métodos ensemble; descubrimiento de biomarcadores; detección de adenomas; SHAP; árboles de decisión</w:t>
      </w:r>
    </w:p>
    <w:p w14:paraId="5B39961B" w14:textId="77777777" w:rsidR="00814E32" w:rsidRPr="007809FB" w:rsidRDefault="00000000" w:rsidP="007809FB">
      <w:pPr>
        <w:jc w:val="both"/>
        <w:rPr>
          <w:lang w:val="es-MX"/>
        </w:rPr>
      </w:pPr>
      <w:r w:rsidRPr="007809FB">
        <w:rPr>
          <w:lang w:val="es-MX"/>
        </w:rPr>
        <w:br w:type="page"/>
      </w:r>
    </w:p>
    <w:p w14:paraId="4B407D33" w14:textId="77777777" w:rsidR="00814E32" w:rsidRPr="007809FB" w:rsidRDefault="00000000">
      <w:pPr>
        <w:spacing w:before="360" w:after="120"/>
        <w:rPr>
          <w:lang w:val="es-MX"/>
        </w:rPr>
      </w:pPr>
      <w:r w:rsidRPr="007809FB">
        <w:rPr>
          <w:b/>
          <w:sz w:val="28"/>
          <w:lang w:val="es-MX"/>
        </w:rPr>
        <w:lastRenderedPageBreak/>
        <w:t>1. Introducción</w:t>
      </w:r>
    </w:p>
    <w:p w14:paraId="040FDCE1" w14:textId="77777777" w:rsidR="00814E32" w:rsidRPr="007809FB" w:rsidRDefault="00000000">
      <w:pPr>
        <w:ind w:firstLine="720"/>
        <w:jc w:val="both"/>
        <w:rPr>
          <w:lang w:val="es-MX"/>
        </w:rPr>
      </w:pPr>
      <w:r w:rsidRPr="007809FB">
        <w:rPr>
          <w:lang w:val="es-MX"/>
        </w:rPr>
        <w:t>El cáncer colorrectal (CCR) representa la tercera neoplasia más diagnosticada y la segunda causa de mortalidad por cáncer a nivel mundial, con aproximadamente 1.9 millones de nuevos casos y 935,000 muertes anuales [1]. La progresión del CCR sigue una secuencia bien caracterizada: mucosa normal, adenoma, adenoma avanzado (AA) y carcinoma invasivo, conocida como la secuencia adenoma-carcinoma [2]. Esta progresión ofrece una ventana crítica de intervención: la detección y remoción de adenomas avanzados mediante polipectomía endoscópica puede prevenir hasta el 80% de los casos de CCR [3].</w:t>
      </w:r>
    </w:p>
    <w:p w14:paraId="6F9964EC" w14:textId="77777777" w:rsidR="00814E32" w:rsidRPr="007809FB" w:rsidRDefault="00000000">
      <w:pPr>
        <w:ind w:firstLine="720"/>
        <w:jc w:val="both"/>
        <w:rPr>
          <w:lang w:val="es-MX"/>
        </w:rPr>
      </w:pPr>
      <w:r w:rsidRPr="007809FB">
        <w:rPr>
          <w:lang w:val="es-MX"/>
        </w:rPr>
        <w:t>Las estrategias actuales de tamizaje poblacional se basan principalmente en la prueba inmunoquímica fecal (FIT), que detecta hemoglobina humana en heces como indicador de sangrado en el tracto digestivo. Aunque el FIT presenta buena especificidad para CCR confirmado, su sensibilidad para adenomas avanzados es limitada, oscilando entre el 20% y el 50% según la concentración utilizada como umbral de positividad [4]. Los resultados positivos del FIT requieren confirmación mediante colonoscopia, un procedimiento invasivo, costoso y con disponibilidad limitada en sistemas de salud con recursos restringidos [5].</w:t>
      </w:r>
    </w:p>
    <w:p w14:paraId="6AC1B2FC" w14:textId="77777777" w:rsidR="00814E32" w:rsidRPr="007809FB" w:rsidRDefault="00000000">
      <w:pPr>
        <w:ind w:firstLine="720"/>
        <w:jc w:val="both"/>
        <w:rPr>
          <w:lang w:val="es-MX"/>
        </w:rPr>
      </w:pPr>
      <w:r w:rsidRPr="007809FB">
        <w:rPr>
          <w:lang w:val="es-MX"/>
        </w:rPr>
        <w:t xml:space="preserve">En este contexto, la </w:t>
      </w:r>
      <w:proofErr w:type="spellStart"/>
      <w:r w:rsidRPr="007809FB">
        <w:rPr>
          <w:lang w:val="es-MX"/>
        </w:rPr>
        <w:t>lipidómica</w:t>
      </w:r>
      <w:proofErr w:type="spellEnd"/>
      <w:r w:rsidRPr="007809FB">
        <w:rPr>
          <w:lang w:val="es-MX"/>
        </w:rPr>
        <w:t xml:space="preserve"> emerge como una herramienta prometedora para el descubrimiento de biomarcadores no invasivos. Los perfiles lipidómicos séricos reflejan alteraciones metabólicas asociadas a la carcinogénesis colorrectal, incluyendo cambios en el metabolismo de esfingolípidos, </w:t>
      </w:r>
      <w:proofErr w:type="spellStart"/>
      <w:r w:rsidRPr="007809FB">
        <w:rPr>
          <w:lang w:val="es-MX"/>
        </w:rPr>
        <w:t>glicerofosfolípidos</w:t>
      </w:r>
      <w:proofErr w:type="spellEnd"/>
      <w:r w:rsidRPr="007809FB">
        <w:rPr>
          <w:lang w:val="es-MX"/>
        </w:rPr>
        <w:t xml:space="preserve"> y ésteres de colesterol [6,7]. Estudios recientes han demostrado que la combinación de perfiles metabolómicos con la prueba FIT mejora significativamente la capacidad discriminatoria para neoplasias colorrectales avanzadas [8].</w:t>
      </w:r>
    </w:p>
    <w:p w14:paraId="23FC5420" w14:textId="77777777" w:rsidR="00814E32" w:rsidRPr="007809FB" w:rsidRDefault="00000000">
      <w:pPr>
        <w:ind w:firstLine="720"/>
        <w:jc w:val="both"/>
        <w:rPr>
          <w:lang w:val="es-MX"/>
        </w:rPr>
      </w:pPr>
      <w:r w:rsidRPr="007809FB">
        <w:rPr>
          <w:lang w:val="es-MX"/>
        </w:rPr>
        <w:lastRenderedPageBreak/>
        <w:t xml:space="preserve">Sin embargo, los enfoques </w:t>
      </w:r>
      <w:proofErr w:type="spellStart"/>
      <w:r w:rsidRPr="007809FB">
        <w:rPr>
          <w:lang w:val="es-MX"/>
        </w:rPr>
        <w:t>quimiométricos</w:t>
      </w:r>
      <w:proofErr w:type="spellEnd"/>
      <w:r w:rsidRPr="007809FB">
        <w:rPr>
          <w:lang w:val="es-MX"/>
        </w:rPr>
        <w:t xml:space="preserve"> convencionales pueden presentar limitaciones en contextos multiclase. </w:t>
      </w:r>
      <w:proofErr w:type="spellStart"/>
      <w:r w:rsidRPr="007809FB">
        <w:rPr>
          <w:lang w:val="es-MX"/>
        </w:rPr>
        <w:t>Alboniga</w:t>
      </w:r>
      <w:proofErr w:type="spellEnd"/>
      <w:r w:rsidRPr="007809FB">
        <w:rPr>
          <w:lang w:val="es-MX"/>
        </w:rPr>
        <w:t xml:space="preserve"> et al. [8] aplicaron análisis discriminante por mínimos cuadrados parciales (PLS-DA) a datos lipidómicos de una cohorte de 211 pacientes del Hospital de Ourense, logrando buena discriminación entre controles sanos y CCR confirmado, pero con incapacidad total para detectar adenomas avanzados (F1 = 0 para la clase AA). Esta limitación es clínicamente crítica, ya que los AA constituyen precisamente la ventana de intervención preventiva más valiosa.</w:t>
      </w:r>
    </w:p>
    <w:p w14:paraId="22341CA7" w14:textId="77777777" w:rsidR="00814E32" w:rsidRPr="007809FB" w:rsidRDefault="00000000">
      <w:pPr>
        <w:ind w:firstLine="720"/>
        <w:jc w:val="both"/>
        <w:rPr>
          <w:lang w:val="es-MX"/>
        </w:rPr>
      </w:pPr>
      <w:r w:rsidRPr="007809FB">
        <w:rPr>
          <w:lang w:val="es-MX"/>
        </w:rPr>
        <w:t xml:space="preserve">Los métodos de aprendizaje automático (machine learning), particularmente los </w:t>
      </w:r>
      <w:proofErr w:type="spellStart"/>
      <w:r w:rsidRPr="007809FB">
        <w:rPr>
          <w:lang w:val="es-MX"/>
        </w:rPr>
        <w:t>ensembles</w:t>
      </w:r>
      <w:proofErr w:type="spellEnd"/>
      <w:r w:rsidRPr="007809FB">
        <w:rPr>
          <w:lang w:val="es-MX"/>
        </w:rPr>
        <w:t xml:space="preserve"> de árboles de decisión, ofrecen ventajas sobre los enfoques </w:t>
      </w:r>
      <w:proofErr w:type="spellStart"/>
      <w:r w:rsidRPr="007809FB">
        <w:rPr>
          <w:lang w:val="es-MX"/>
        </w:rPr>
        <w:t>quimiométricos</w:t>
      </w:r>
      <w:proofErr w:type="spellEnd"/>
      <w:r w:rsidRPr="007809FB">
        <w:rPr>
          <w:lang w:val="es-MX"/>
        </w:rPr>
        <w:t xml:space="preserve"> lineales para este tipo de problemas: capturan interacciones no lineales entre variables, manejan naturalmente el desbalance de clases y proporcionan mecanismos de interpretabilidad mediante la importancia de variables [9,10]. No obstante, la evidencia sobre su aplicación a la clasificación multiclase de la progresión del CCR utilizando biomarcadores lipidómicos es limitada.</w:t>
      </w:r>
    </w:p>
    <w:p w14:paraId="443C0204" w14:textId="77777777" w:rsidR="00814E32" w:rsidRDefault="00000000">
      <w:pPr>
        <w:ind w:firstLine="720"/>
        <w:jc w:val="both"/>
        <w:rPr>
          <w:lang w:val="es-MX"/>
        </w:rPr>
      </w:pPr>
      <w:r w:rsidRPr="007809FB">
        <w:rPr>
          <w:lang w:val="es-MX"/>
        </w:rPr>
        <w:t>El presente estudio aborda esta brecha mediante el desarrollo de un pipeline completo de aprendizaje automático, siguiendo el marco metodológico CRISP-ML(Q) [11], para la clasificación tripartita (Control/AA/CCR) a partir de biomarcadores lipidómicos séricos. Los objetivos específicos son: (1) construir un clasificador multiclase para la progresión del cáncer colorrectal, con especial énfasis en la detección de adenomas avanzados; (2) identificar un panel reducido de biomarcadores lipidómicos con capacidad discriminatoria y plausibilidad biológica; y (3) evaluar la complementariedad entre los biomarcadores lipidómicos y las pruebas clínicas estándar (FIT, sangre oculta en heces).</w:t>
      </w:r>
    </w:p>
    <w:p w14:paraId="17F2C01F" w14:textId="77777777" w:rsidR="007809FB" w:rsidRPr="007809FB" w:rsidRDefault="007809FB">
      <w:pPr>
        <w:ind w:firstLine="720"/>
        <w:jc w:val="both"/>
        <w:rPr>
          <w:lang w:val="es-MX"/>
        </w:rPr>
      </w:pPr>
    </w:p>
    <w:p w14:paraId="4D263B01" w14:textId="77777777" w:rsidR="00814E32" w:rsidRPr="007809FB" w:rsidRDefault="00000000">
      <w:pPr>
        <w:spacing w:before="360" w:after="120"/>
        <w:rPr>
          <w:lang w:val="es-MX"/>
        </w:rPr>
      </w:pPr>
      <w:r w:rsidRPr="007809FB">
        <w:rPr>
          <w:b/>
          <w:sz w:val="28"/>
          <w:lang w:val="es-MX"/>
        </w:rPr>
        <w:lastRenderedPageBreak/>
        <w:t>2. Trabajos Relacionados</w:t>
      </w:r>
    </w:p>
    <w:p w14:paraId="4EB27040" w14:textId="77777777" w:rsidR="00814E32" w:rsidRPr="007809FB" w:rsidRDefault="00000000">
      <w:pPr>
        <w:ind w:firstLine="720"/>
        <w:jc w:val="both"/>
        <w:rPr>
          <w:lang w:val="es-MX"/>
        </w:rPr>
      </w:pPr>
      <w:r w:rsidRPr="007809FB">
        <w:rPr>
          <w:lang w:val="es-MX"/>
        </w:rPr>
        <w:t xml:space="preserve">La aplicación de técnicas de aprendizaje automático al diagnóstico del CCR ha ganado atención significativa en la última década. Los enfoques pueden clasificarse según el tipo de datos utilizados: imágenes histopatológicas [12], datos genómicos y </w:t>
      </w:r>
      <w:proofErr w:type="spellStart"/>
      <w:r w:rsidRPr="007809FB">
        <w:rPr>
          <w:lang w:val="es-MX"/>
        </w:rPr>
        <w:t>transcriptómicos</w:t>
      </w:r>
      <w:proofErr w:type="spellEnd"/>
      <w:r w:rsidRPr="007809FB">
        <w:rPr>
          <w:lang w:val="es-MX"/>
        </w:rPr>
        <w:t xml:space="preserve"> [13], metabolómica y </w:t>
      </w:r>
      <w:proofErr w:type="spellStart"/>
      <w:r w:rsidRPr="007809FB">
        <w:rPr>
          <w:lang w:val="es-MX"/>
        </w:rPr>
        <w:t>lipidómica</w:t>
      </w:r>
      <w:proofErr w:type="spellEnd"/>
      <w:r w:rsidRPr="007809FB">
        <w:rPr>
          <w:lang w:val="es-MX"/>
        </w:rPr>
        <w:t xml:space="preserve"> [6,7,8], y datos clínicos y demográficos [14].</w:t>
      </w:r>
    </w:p>
    <w:p w14:paraId="2E892DC1" w14:textId="77777777" w:rsidR="00814E32" w:rsidRPr="007809FB" w:rsidRDefault="00000000">
      <w:pPr>
        <w:ind w:firstLine="720"/>
        <w:jc w:val="both"/>
        <w:rPr>
          <w:lang w:val="es-MX"/>
        </w:rPr>
      </w:pPr>
      <w:r w:rsidRPr="007809FB">
        <w:rPr>
          <w:lang w:val="es-MX"/>
        </w:rPr>
        <w:t xml:space="preserve">En el ámbito de la metabolómica aplicada al CCR, varios estudios han empleado técnicas de clasificación supervisada. </w:t>
      </w:r>
      <w:proofErr w:type="spellStart"/>
      <w:r w:rsidRPr="007809FB">
        <w:rPr>
          <w:lang w:val="es-MX"/>
        </w:rPr>
        <w:t>Nishiumi</w:t>
      </w:r>
      <w:proofErr w:type="spellEnd"/>
      <w:r w:rsidRPr="007809FB">
        <w:rPr>
          <w:lang w:val="es-MX"/>
        </w:rPr>
        <w:t xml:space="preserve"> et al. [15] utilizaron Random Forest con metabolitos séricos para discriminar pacientes con CCR de controles sanos, alcanzando un AUC de 0.91 en validación. </w:t>
      </w:r>
      <w:proofErr w:type="spellStart"/>
      <w:r w:rsidRPr="007809FB">
        <w:rPr>
          <w:lang w:val="es-MX"/>
        </w:rPr>
        <w:t>Farshidfar</w:t>
      </w:r>
      <w:proofErr w:type="spellEnd"/>
      <w:r w:rsidRPr="007809FB">
        <w:rPr>
          <w:lang w:val="es-MX"/>
        </w:rPr>
        <w:t xml:space="preserve"> et al. [16] aplicaron análisis multivariado a perfiles metabolómicos para clasificar estadios del CCR, demostrando que los metabolitos séricos reflejan la progresión tumoral. Sin embargo, la mayoría de estos estudios se limitan a comparaciones binarias (cáncer vs. control), sin abordar la detección de lesiones precancerosas como los adenomas avanzados.</w:t>
      </w:r>
    </w:p>
    <w:p w14:paraId="5FAD0B2B" w14:textId="77777777" w:rsidR="00814E32" w:rsidRPr="007809FB" w:rsidRDefault="00000000">
      <w:pPr>
        <w:ind w:firstLine="720"/>
        <w:jc w:val="both"/>
        <w:rPr>
          <w:lang w:val="es-MX"/>
        </w:rPr>
      </w:pPr>
      <w:r w:rsidRPr="007809FB">
        <w:rPr>
          <w:lang w:val="es-MX"/>
        </w:rPr>
        <w:t xml:space="preserve">Específicamente en </w:t>
      </w:r>
      <w:proofErr w:type="spellStart"/>
      <w:r w:rsidRPr="007809FB">
        <w:rPr>
          <w:lang w:val="es-MX"/>
        </w:rPr>
        <w:t>lipidómica</w:t>
      </w:r>
      <w:proofErr w:type="spellEnd"/>
      <w:r w:rsidRPr="007809FB">
        <w:rPr>
          <w:lang w:val="es-MX"/>
        </w:rPr>
        <w:t xml:space="preserve">, Ecker et al. [6] identificaron alteraciones en los perfiles de fosfolípidos y esfingomielinas asociadas al CCR, sugiriendo que la remodelación lipídica es un evento temprano en la carcinogénesis colorrectal. Más recientemente, </w:t>
      </w:r>
      <w:proofErr w:type="spellStart"/>
      <w:r w:rsidRPr="007809FB">
        <w:rPr>
          <w:lang w:val="es-MX"/>
        </w:rPr>
        <w:t>Alboniga</w:t>
      </w:r>
      <w:proofErr w:type="spellEnd"/>
      <w:r w:rsidRPr="007809FB">
        <w:rPr>
          <w:lang w:val="es-MX"/>
        </w:rPr>
        <w:t xml:space="preserve"> et al. [8] realizaron un estudio exhaustivo utilizando UHPLC-MS para cuantificar 127 lípidos séricos en una cohorte de 211 pacientes (78 controles, 58 AA, 75 CCR) del Hospital de Ourense (Galicia, España). Aplicaron PLS-DA como método </w:t>
      </w:r>
      <w:proofErr w:type="spellStart"/>
      <w:r w:rsidRPr="007809FB">
        <w:rPr>
          <w:lang w:val="es-MX"/>
        </w:rPr>
        <w:t>quimiométrico</w:t>
      </w:r>
      <w:proofErr w:type="spellEnd"/>
      <w:r w:rsidRPr="007809FB">
        <w:rPr>
          <w:lang w:val="es-MX"/>
        </w:rPr>
        <w:t xml:space="preserve"> estándar, logrando buena separación binaria (CCR vs. CTRL), aunque ningún adenoma avanzado fue clasificado correctamente (F1 AA = 0).</w:t>
      </w:r>
    </w:p>
    <w:p w14:paraId="0C926A75" w14:textId="77777777" w:rsidR="00814E32" w:rsidRPr="007809FB" w:rsidRDefault="00000000">
      <w:pPr>
        <w:ind w:firstLine="720"/>
        <w:jc w:val="both"/>
        <w:rPr>
          <w:lang w:val="es-MX"/>
        </w:rPr>
      </w:pPr>
      <w:r w:rsidRPr="007809FB">
        <w:rPr>
          <w:lang w:val="es-MX"/>
        </w:rPr>
        <w:lastRenderedPageBreak/>
        <w:t xml:space="preserve">Esta brecha en la detección multiclase de AA constituye la motivación central del presente trabajo. A diferencia de los estudios previos, nuestro enfoque: (a) formula el problema explícitamente como clasificación tripartita (CTRL/AA/CCR); (b) emplea un pipeline sistemático de preprocesamiento con validación cuantitativa de cada decisión; (c) compara 14 modelos incluyendo 8 </w:t>
      </w:r>
      <w:proofErr w:type="spellStart"/>
      <w:r w:rsidRPr="007809FB">
        <w:rPr>
          <w:lang w:val="es-MX"/>
        </w:rPr>
        <w:t>ensembles</w:t>
      </w:r>
      <w:proofErr w:type="spellEnd"/>
      <w:r w:rsidRPr="007809FB">
        <w:rPr>
          <w:lang w:val="es-MX"/>
        </w:rPr>
        <w:t xml:space="preserve">; y (d) prioriza la detección de AA como métrica clínica principal, complementando la evaluación con análisis de </w:t>
      </w:r>
      <w:proofErr w:type="spellStart"/>
      <w:r w:rsidRPr="007809FB">
        <w:rPr>
          <w:lang w:val="es-MX"/>
        </w:rPr>
        <w:t>explicabilidad</w:t>
      </w:r>
      <w:proofErr w:type="spellEnd"/>
      <w:r w:rsidRPr="007809FB">
        <w:rPr>
          <w:lang w:val="es-MX"/>
        </w:rPr>
        <w:t xml:space="preserve"> SHAP.</w:t>
      </w:r>
    </w:p>
    <w:p w14:paraId="680ACB51" w14:textId="77777777" w:rsidR="00814E32" w:rsidRPr="007809FB" w:rsidRDefault="00000000">
      <w:pPr>
        <w:spacing w:before="360" w:after="120"/>
        <w:rPr>
          <w:lang w:val="es-MX"/>
        </w:rPr>
      </w:pPr>
      <w:r w:rsidRPr="007809FB">
        <w:rPr>
          <w:b/>
          <w:sz w:val="28"/>
          <w:lang w:val="es-MX"/>
        </w:rPr>
        <w:t>3. Materiales y Métodos</w:t>
      </w:r>
    </w:p>
    <w:p w14:paraId="0126C0D7" w14:textId="77777777" w:rsidR="00814E32" w:rsidRPr="007809FB" w:rsidRDefault="00000000">
      <w:pPr>
        <w:spacing w:before="240" w:after="80"/>
        <w:rPr>
          <w:lang w:val="es-MX"/>
        </w:rPr>
      </w:pPr>
      <w:r w:rsidRPr="007809FB">
        <w:rPr>
          <w:b/>
          <w:lang w:val="es-MX"/>
        </w:rPr>
        <w:t>3.1 Conjunto de datos</w:t>
      </w:r>
    </w:p>
    <w:p w14:paraId="46C0A67C" w14:textId="77777777" w:rsidR="00814E32" w:rsidRPr="007809FB" w:rsidRDefault="00000000">
      <w:pPr>
        <w:ind w:firstLine="720"/>
        <w:jc w:val="both"/>
        <w:rPr>
          <w:lang w:val="es-MX"/>
        </w:rPr>
      </w:pPr>
      <w:r w:rsidRPr="007809FB">
        <w:rPr>
          <w:lang w:val="es-MX"/>
        </w:rPr>
        <w:t xml:space="preserve">Se utilizó el conjunto de datos lipidómicos publicado por </w:t>
      </w:r>
      <w:proofErr w:type="spellStart"/>
      <w:r w:rsidRPr="007809FB">
        <w:rPr>
          <w:lang w:val="es-MX"/>
        </w:rPr>
        <w:t>Alboniga</w:t>
      </w:r>
      <w:proofErr w:type="spellEnd"/>
      <w:r w:rsidRPr="007809FB">
        <w:rPr>
          <w:lang w:val="es-MX"/>
        </w:rPr>
        <w:t xml:space="preserve"> et al. [8], compuesto por 211 muestras de suero sanguíneo de pacientes del programa de tamizaje de CCR del Hospital de Ourense (Galicia, España). Las muestras fueron analizadas mediante cromatografía líquida de </w:t>
      </w:r>
      <w:proofErr w:type="spellStart"/>
      <w:r w:rsidRPr="007809FB">
        <w:rPr>
          <w:lang w:val="es-MX"/>
        </w:rPr>
        <w:t>ultra-alto</w:t>
      </w:r>
      <w:proofErr w:type="spellEnd"/>
      <w:r w:rsidRPr="007809FB">
        <w:rPr>
          <w:lang w:val="es-MX"/>
        </w:rPr>
        <w:t xml:space="preserve"> rendimiento acoplada a espectrometría de masas (UHPLC-MS), cuantificando 127 lípidos pertenecientes a las familias de esfingolípidos, esteroles, </w:t>
      </w:r>
      <w:proofErr w:type="spellStart"/>
      <w:r w:rsidRPr="007809FB">
        <w:rPr>
          <w:lang w:val="es-MX"/>
        </w:rPr>
        <w:t>glicerofosfolípidos</w:t>
      </w:r>
      <w:proofErr w:type="spellEnd"/>
      <w:r w:rsidRPr="007809FB">
        <w:rPr>
          <w:lang w:val="es-MX"/>
        </w:rPr>
        <w:t xml:space="preserve"> y </w:t>
      </w:r>
      <w:proofErr w:type="spellStart"/>
      <w:r w:rsidRPr="007809FB">
        <w:rPr>
          <w:lang w:val="es-MX"/>
        </w:rPr>
        <w:t>glicerolípidos</w:t>
      </w:r>
      <w:proofErr w:type="spellEnd"/>
      <w:r w:rsidRPr="007809FB">
        <w:rPr>
          <w:lang w:val="es-MX"/>
        </w:rPr>
        <w:t>.</w:t>
      </w:r>
    </w:p>
    <w:p w14:paraId="67BFCD98" w14:textId="77777777" w:rsidR="00814E32" w:rsidRDefault="00000000">
      <w:pPr>
        <w:ind w:firstLine="720"/>
        <w:jc w:val="both"/>
        <w:rPr>
          <w:lang w:val="es-MX"/>
        </w:rPr>
      </w:pPr>
      <w:r w:rsidRPr="007809FB">
        <w:rPr>
          <w:lang w:val="es-MX"/>
        </w:rPr>
        <w:t xml:space="preserve">La distribución de clases fue: 78 controles sanos (CTRL, 37.0%), 58 adenomas avanzados (AA, 27.5%) y 75 casos de cáncer colorrectal confirmado (CCR, 35.5%). Adicionalmente, se registraron variables clínicas: edad, resultado de la prueba FIT (concentración de hemoglobina fecal en </w:t>
      </w:r>
      <w:proofErr w:type="spellStart"/>
      <w:r w:rsidRPr="007809FB">
        <w:rPr>
          <w:lang w:val="es-MX"/>
        </w:rPr>
        <w:t>microg</w:t>
      </w:r>
      <w:proofErr w:type="spellEnd"/>
      <w:r w:rsidRPr="007809FB">
        <w:rPr>
          <w:lang w:val="es-MX"/>
        </w:rPr>
        <w:t>/g), prueba de sangre oculta en heces (FOB, categórica: si/no) y género.</w:t>
      </w:r>
    </w:p>
    <w:p w14:paraId="4ADE8550" w14:textId="77777777" w:rsidR="007809FB" w:rsidRDefault="007809FB">
      <w:pPr>
        <w:ind w:firstLine="720"/>
        <w:jc w:val="both"/>
        <w:rPr>
          <w:lang w:val="es-MX"/>
        </w:rPr>
      </w:pPr>
    </w:p>
    <w:p w14:paraId="6E1D2362" w14:textId="77777777" w:rsidR="007809FB" w:rsidRPr="007809FB" w:rsidRDefault="007809FB">
      <w:pPr>
        <w:ind w:firstLine="720"/>
        <w:jc w:val="both"/>
        <w:rPr>
          <w:lang w:val="es-MX"/>
        </w:rPr>
      </w:pPr>
    </w:p>
    <w:p w14:paraId="443F30C3" w14:textId="77777777" w:rsidR="00814E32" w:rsidRPr="007809FB" w:rsidRDefault="00000000">
      <w:pPr>
        <w:spacing w:before="240"/>
        <w:rPr>
          <w:lang w:val="es-MX"/>
        </w:rPr>
      </w:pPr>
      <w:r w:rsidRPr="007809FB">
        <w:rPr>
          <w:b/>
          <w:sz w:val="20"/>
          <w:lang w:val="es-MX"/>
        </w:rPr>
        <w:lastRenderedPageBreak/>
        <w:t>Tabla 1. Variables del conjunto de datos.</w:t>
      </w:r>
    </w:p>
    <w:tbl>
      <w:tblPr>
        <w:tblStyle w:val="Cuadrculaclara-nfasis1"/>
        <w:tblW w:w="0" w:type="auto"/>
        <w:jc w:val="center"/>
        <w:tblLook w:val="04A0" w:firstRow="1" w:lastRow="0" w:firstColumn="1" w:lastColumn="0" w:noHBand="0" w:noVBand="1"/>
      </w:tblPr>
      <w:tblGrid>
        <w:gridCol w:w="2946"/>
        <w:gridCol w:w="2946"/>
        <w:gridCol w:w="2946"/>
      </w:tblGrid>
      <w:tr w:rsidR="00814E32" w14:paraId="451386C0" w14:textId="77777777" w:rsidTr="00814E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w14:paraId="473E7BEF" w14:textId="77777777" w:rsidR="00814E32" w:rsidRDefault="00000000">
            <w:r>
              <w:rPr>
                <w:sz w:val="20"/>
              </w:rPr>
              <w:t>Variable</w:t>
            </w:r>
          </w:p>
        </w:tc>
        <w:tc>
          <w:tcPr>
            <w:tcW w:w="2946" w:type="dxa"/>
          </w:tcPr>
          <w:p w14:paraId="43256A86"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Tipo</w:t>
            </w:r>
          </w:p>
        </w:tc>
        <w:tc>
          <w:tcPr>
            <w:tcW w:w="2946" w:type="dxa"/>
          </w:tcPr>
          <w:p w14:paraId="0D746356"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Descripción</w:t>
            </w:r>
          </w:p>
        </w:tc>
      </w:tr>
      <w:tr w:rsidR="00814E32" w14:paraId="4DE1CC99"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w14:paraId="1925498C" w14:textId="77777777" w:rsidR="00814E32" w:rsidRDefault="00000000">
            <w:r>
              <w:rPr>
                <w:sz w:val="20"/>
              </w:rPr>
              <w:t>127 lípidos</w:t>
            </w:r>
          </w:p>
        </w:tc>
        <w:tc>
          <w:tcPr>
            <w:tcW w:w="2946" w:type="dxa"/>
          </w:tcPr>
          <w:p w14:paraId="46833283"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Continua</w:t>
            </w:r>
          </w:p>
        </w:tc>
        <w:tc>
          <w:tcPr>
            <w:tcW w:w="2946" w:type="dxa"/>
          </w:tcPr>
          <w:p w14:paraId="32359D56"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Concentraciones de lípidos séricos por UHPLC-MS</w:t>
            </w:r>
          </w:p>
        </w:tc>
      </w:tr>
      <w:tr w:rsidR="00814E32" w:rsidRPr="007809FB" w14:paraId="1222A9F3"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w14:paraId="6A72FA0C" w14:textId="77777777" w:rsidR="00814E32" w:rsidRDefault="00000000">
            <w:r>
              <w:rPr>
                <w:sz w:val="20"/>
              </w:rPr>
              <w:t>Edad</w:t>
            </w:r>
          </w:p>
        </w:tc>
        <w:tc>
          <w:tcPr>
            <w:tcW w:w="2946" w:type="dxa"/>
          </w:tcPr>
          <w:p w14:paraId="57EF90D9"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Continua</w:t>
            </w:r>
          </w:p>
        </w:tc>
        <w:tc>
          <w:tcPr>
            <w:tcW w:w="2946" w:type="dxa"/>
          </w:tcPr>
          <w:p w14:paraId="1C94C3A7" w14:textId="77777777" w:rsidR="00814E32" w:rsidRPr="007809FB" w:rsidRDefault="00000000">
            <w:pPr>
              <w:cnfStyle w:val="000000010000" w:firstRow="0" w:lastRow="0" w:firstColumn="0" w:lastColumn="0" w:oddVBand="0" w:evenVBand="0" w:oddHBand="0" w:evenHBand="1" w:firstRowFirstColumn="0" w:firstRowLastColumn="0" w:lastRowFirstColumn="0" w:lastRowLastColumn="0"/>
              <w:rPr>
                <w:lang w:val="es-MX"/>
              </w:rPr>
            </w:pPr>
            <w:r w:rsidRPr="007809FB">
              <w:rPr>
                <w:sz w:val="20"/>
                <w:lang w:val="es-MX"/>
              </w:rPr>
              <w:t>Edad del paciente en años</w:t>
            </w:r>
          </w:p>
        </w:tc>
      </w:tr>
      <w:tr w:rsidR="00814E32" w:rsidRPr="007809FB" w14:paraId="1809280C"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w14:paraId="56DE7F4E" w14:textId="77777777" w:rsidR="00814E32" w:rsidRDefault="00000000">
            <w:r>
              <w:rPr>
                <w:sz w:val="20"/>
              </w:rPr>
              <w:t>FIT (microg/g)</w:t>
            </w:r>
          </w:p>
        </w:tc>
        <w:tc>
          <w:tcPr>
            <w:tcW w:w="2946" w:type="dxa"/>
          </w:tcPr>
          <w:p w14:paraId="30C6BDBC"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Continua</w:t>
            </w:r>
          </w:p>
        </w:tc>
        <w:tc>
          <w:tcPr>
            <w:tcW w:w="2946" w:type="dxa"/>
          </w:tcPr>
          <w:p w14:paraId="5369AC70" w14:textId="77777777" w:rsidR="00814E32" w:rsidRPr="007809FB" w:rsidRDefault="00000000">
            <w:pPr>
              <w:cnfStyle w:val="000000100000" w:firstRow="0" w:lastRow="0" w:firstColumn="0" w:lastColumn="0" w:oddVBand="0" w:evenVBand="0" w:oddHBand="1" w:evenHBand="0" w:firstRowFirstColumn="0" w:firstRowLastColumn="0" w:lastRowFirstColumn="0" w:lastRowLastColumn="0"/>
              <w:rPr>
                <w:lang w:val="es-MX"/>
              </w:rPr>
            </w:pPr>
            <w:r w:rsidRPr="007809FB">
              <w:rPr>
                <w:sz w:val="20"/>
                <w:lang w:val="es-MX"/>
              </w:rPr>
              <w:t>Concentración de hemoglobina fecal inmunoquímica</w:t>
            </w:r>
          </w:p>
        </w:tc>
      </w:tr>
      <w:tr w:rsidR="00814E32" w:rsidRPr="007809FB" w14:paraId="713963C6"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w14:paraId="3252024B" w14:textId="77777777" w:rsidR="00814E32" w:rsidRDefault="00000000">
            <w:r>
              <w:rPr>
                <w:sz w:val="20"/>
              </w:rPr>
              <w:t>FOB</w:t>
            </w:r>
          </w:p>
        </w:tc>
        <w:tc>
          <w:tcPr>
            <w:tcW w:w="2946" w:type="dxa"/>
          </w:tcPr>
          <w:p w14:paraId="0F2EB7FD"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Categórica</w:t>
            </w:r>
          </w:p>
        </w:tc>
        <w:tc>
          <w:tcPr>
            <w:tcW w:w="2946" w:type="dxa"/>
          </w:tcPr>
          <w:p w14:paraId="0E5515FE" w14:textId="77777777" w:rsidR="00814E32" w:rsidRPr="007809FB" w:rsidRDefault="00000000">
            <w:pPr>
              <w:cnfStyle w:val="000000010000" w:firstRow="0" w:lastRow="0" w:firstColumn="0" w:lastColumn="0" w:oddVBand="0" w:evenVBand="0" w:oddHBand="0" w:evenHBand="1" w:firstRowFirstColumn="0" w:firstRowLastColumn="0" w:lastRowFirstColumn="0" w:lastRowLastColumn="0"/>
              <w:rPr>
                <w:lang w:val="es-MX"/>
              </w:rPr>
            </w:pPr>
            <w:r w:rsidRPr="007809FB">
              <w:rPr>
                <w:sz w:val="20"/>
                <w:lang w:val="es-MX"/>
              </w:rPr>
              <w:t>Sangre oculta en heces (Si/No)</w:t>
            </w:r>
          </w:p>
        </w:tc>
      </w:tr>
      <w:tr w:rsidR="00814E32" w14:paraId="37D4498B"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w14:paraId="41B58D1A" w14:textId="77777777" w:rsidR="00814E32" w:rsidRDefault="00000000">
            <w:proofErr w:type="spellStart"/>
            <w:r>
              <w:rPr>
                <w:sz w:val="20"/>
              </w:rPr>
              <w:t>Género</w:t>
            </w:r>
            <w:proofErr w:type="spellEnd"/>
          </w:p>
        </w:tc>
        <w:tc>
          <w:tcPr>
            <w:tcW w:w="2946" w:type="dxa"/>
          </w:tcPr>
          <w:p w14:paraId="6CF3071E"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Categórica</w:t>
            </w:r>
          </w:p>
        </w:tc>
        <w:tc>
          <w:tcPr>
            <w:tcW w:w="2946" w:type="dxa"/>
          </w:tcPr>
          <w:p w14:paraId="42650096"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Masculino/Femenino</w:t>
            </w:r>
          </w:p>
        </w:tc>
      </w:tr>
      <w:tr w:rsidR="00814E32" w14:paraId="154235F6"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6" w:type="dxa"/>
          </w:tcPr>
          <w:p w14:paraId="6616252C" w14:textId="77777777" w:rsidR="00814E32" w:rsidRDefault="00000000">
            <w:r>
              <w:rPr>
                <w:sz w:val="20"/>
              </w:rPr>
              <w:t>Grupo</w:t>
            </w:r>
          </w:p>
        </w:tc>
        <w:tc>
          <w:tcPr>
            <w:tcW w:w="2946" w:type="dxa"/>
          </w:tcPr>
          <w:p w14:paraId="7A9CF45A"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Categórica (objetivo)</w:t>
            </w:r>
          </w:p>
        </w:tc>
        <w:tc>
          <w:tcPr>
            <w:tcW w:w="2946" w:type="dxa"/>
          </w:tcPr>
          <w:p w14:paraId="72572C0F"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CTRL / AA / CCR</w:t>
            </w:r>
          </w:p>
        </w:tc>
      </w:tr>
    </w:tbl>
    <w:p w14:paraId="281CD13F" w14:textId="77777777" w:rsidR="00814E32" w:rsidRDefault="00814E32"/>
    <w:p w14:paraId="74941E2C" w14:textId="77777777" w:rsidR="00814E32" w:rsidRDefault="00000000">
      <w:pPr>
        <w:spacing w:before="240" w:after="80"/>
      </w:pPr>
      <w:r>
        <w:rPr>
          <w:b/>
        </w:rPr>
        <w:t>3.2 Preprocesamiento</w:t>
      </w:r>
    </w:p>
    <w:p w14:paraId="71567857" w14:textId="77777777" w:rsidR="00814E32" w:rsidRDefault="00000000">
      <w:pPr>
        <w:spacing w:before="160" w:after="80"/>
      </w:pPr>
      <w:r>
        <w:rPr>
          <w:b/>
          <w:i/>
        </w:rPr>
        <w:t>3.2.1 Tratamiento de datos faltantes</w:t>
      </w:r>
    </w:p>
    <w:p w14:paraId="1D539346" w14:textId="77777777" w:rsidR="00814E32" w:rsidRPr="007809FB" w:rsidRDefault="00000000">
      <w:pPr>
        <w:ind w:firstLine="720"/>
        <w:jc w:val="both"/>
        <w:rPr>
          <w:lang w:val="es-MX"/>
        </w:rPr>
      </w:pPr>
      <w:r w:rsidRPr="007809FB">
        <w:rPr>
          <w:lang w:val="es-MX"/>
        </w:rPr>
        <w:t>El análisis de datos faltantes reveló que 56 de 132 variables no presentaban valores ausentes, mientras que 27 lípidos contenían más del 20% de datos faltantes. Se eliminaron 5 lípidos con más del 40% de valores faltantes (</w:t>
      </w:r>
      <w:proofErr w:type="gramStart"/>
      <w:r w:rsidRPr="007809FB">
        <w:rPr>
          <w:lang w:val="es-MX"/>
        </w:rPr>
        <w:t>PC(</w:t>
      </w:r>
      <w:proofErr w:type="gramEnd"/>
      <w:r w:rsidRPr="007809FB">
        <w:rPr>
          <w:lang w:val="es-MX"/>
        </w:rPr>
        <w:t xml:space="preserve">33:0), PE(P-18:0/20:4), </w:t>
      </w:r>
      <w:proofErr w:type="gramStart"/>
      <w:r w:rsidRPr="007809FB">
        <w:rPr>
          <w:lang w:val="es-MX"/>
        </w:rPr>
        <w:t>SM(</w:t>
      </w:r>
      <w:proofErr w:type="gramEnd"/>
      <w:r w:rsidRPr="007809FB">
        <w:rPr>
          <w:lang w:val="es-MX"/>
        </w:rPr>
        <w:t xml:space="preserve">36:2), </w:t>
      </w:r>
      <w:proofErr w:type="gramStart"/>
      <w:r w:rsidRPr="007809FB">
        <w:rPr>
          <w:lang w:val="es-MX"/>
        </w:rPr>
        <w:t>TG(</w:t>
      </w:r>
      <w:proofErr w:type="gramEnd"/>
      <w:r w:rsidRPr="007809FB">
        <w:rPr>
          <w:lang w:val="es-MX"/>
        </w:rPr>
        <w:t>55:2), SM(d18:1/17:0)), reteniendo 122 lípidos para el análisis.</w:t>
      </w:r>
    </w:p>
    <w:p w14:paraId="2A45AD09" w14:textId="77777777" w:rsidR="00814E32" w:rsidRPr="007809FB" w:rsidRDefault="00000000">
      <w:pPr>
        <w:ind w:firstLine="720"/>
        <w:jc w:val="both"/>
        <w:rPr>
          <w:lang w:val="es-MX"/>
        </w:rPr>
      </w:pPr>
      <w:r w:rsidRPr="007809FB">
        <w:rPr>
          <w:lang w:val="es-MX"/>
        </w:rPr>
        <w:t>El análisis del mecanismo de datos faltantes mediante pruebas de chi-cuadrado reveló que 13 de 56 lípidos evaluados presentaban dependencia significativa del patrón de ausencia con respecto al grupo diagnóstico (p &lt; 0.05), indicando un mecanismo MAR/MNAR. Biológicamente, las concentraciones bajo el límite de detección son más frecuentes en controles sanos, donde ciertos lípidos asociados a procesos tumorales se encuentran en concentraciones mínimas.</w:t>
      </w:r>
    </w:p>
    <w:p w14:paraId="4E0C0C7C" w14:textId="77777777" w:rsidR="00814E32" w:rsidRPr="007809FB" w:rsidRDefault="00000000">
      <w:pPr>
        <w:ind w:firstLine="720"/>
        <w:jc w:val="both"/>
        <w:rPr>
          <w:lang w:val="es-MX"/>
        </w:rPr>
      </w:pPr>
      <w:r w:rsidRPr="007809FB">
        <w:rPr>
          <w:lang w:val="es-MX"/>
        </w:rPr>
        <w:lastRenderedPageBreak/>
        <w:t xml:space="preserve">Se seleccionó la imputación por mediana de grupo (CTRL/AA/CCR) sobre el método MICE, validando la decisión mediante dos métricas: la norma de Frobenius (3.24 vs. 13.58) y el porcentaje de pares con cambio en correlación |Delta r| &gt; 0.10 (1.6% vs. 15.2%). La imputación por mediana preservó la estructura de correlación </w:t>
      </w:r>
      <w:proofErr w:type="spellStart"/>
      <w:r w:rsidRPr="007809FB">
        <w:rPr>
          <w:lang w:val="es-MX"/>
        </w:rPr>
        <w:t>lipidómica</w:t>
      </w:r>
      <w:proofErr w:type="spellEnd"/>
      <w:r w:rsidRPr="007809FB">
        <w:rPr>
          <w:lang w:val="es-MX"/>
        </w:rPr>
        <w:t xml:space="preserve"> 4 veces mejor que MICE, lo cual es crítico dado que los patrones de </w:t>
      </w:r>
      <w:proofErr w:type="spellStart"/>
      <w:r w:rsidRPr="007809FB">
        <w:rPr>
          <w:lang w:val="es-MX"/>
        </w:rPr>
        <w:t>co-regulación</w:t>
      </w:r>
      <w:proofErr w:type="spellEnd"/>
      <w:r w:rsidRPr="007809FB">
        <w:rPr>
          <w:lang w:val="es-MX"/>
        </w:rPr>
        <w:t xml:space="preserve"> entre lípidos contienen información biológica relevante.</w:t>
      </w:r>
    </w:p>
    <w:p w14:paraId="3F47BF33" w14:textId="77777777" w:rsidR="00814E32" w:rsidRPr="007809FB" w:rsidRDefault="00000000">
      <w:pPr>
        <w:spacing w:before="160" w:after="80"/>
        <w:rPr>
          <w:lang w:val="es-MX"/>
        </w:rPr>
      </w:pPr>
      <w:r w:rsidRPr="007809FB">
        <w:rPr>
          <w:b/>
          <w:i/>
          <w:lang w:val="es-MX"/>
        </w:rPr>
        <w:t>3.2.2 Transformación y escalado</w:t>
      </w:r>
    </w:p>
    <w:p w14:paraId="3E7ECC50" w14:textId="77777777" w:rsidR="00814E32" w:rsidRPr="007809FB" w:rsidRDefault="00000000">
      <w:pPr>
        <w:ind w:firstLine="720"/>
        <w:jc w:val="both"/>
        <w:rPr>
          <w:lang w:val="es-MX"/>
        </w:rPr>
      </w:pPr>
      <w:r w:rsidRPr="007809FB">
        <w:rPr>
          <w:lang w:val="es-MX"/>
        </w:rPr>
        <w:t xml:space="preserve">Dado que los 127 lípidos presentaron asimetría positiva severa (mediana de asimetría = 5.47), se evaluaron cuatro estrategias de transformación: log1p, Yeo-Johnson, Box-Cox y datos crudos. La transformación Box-Cox alcanzó la mayor tasa de normalidad según la prueba de Shapiro-Wilk (81.1% de variables con p &gt; 0.05), frente a log1p (0.8%) y Yeo-Johnson (5.5%). La mediana de asimetría se redujo de 5.47 a 0.03 tras la transformación Box-Cox. Posteriormente, se aplicó </w:t>
      </w:r>
      <w:proofErr w:type="spellStart"/>
      <w:r w:rsidRPr="007809FB">
        <w:rPr>
          <w:lang w:val="es-MX"/>
        </w:rPr>
        <w:t>StandardScaler</w:t>
      </w:r>
      <w:proofErr w:type="spellEnd"/>
      <w:r w:rsidRPr="007809FB">
        <w:rPr>
          <w:lang w:val="es-MX"/>
        </w:rPr>
        <w:t xml:space="preserve"> (media = 0, desviación estándar = 1) a las variables continuas, con el objetivo de homogeneizar las escalas antes del entrenamiento de los modelos.</w:t>
      </w:r>
    </w:p>
    <w:p w14:paraId="2170E92A" w14:textId="77777777" w:rsidR="00814E32" w:rsidRPr="007809FB" w:rsidRDefault="00000000">
      <w:pPr>
        <w:spacing w:before="240" w:after="80"/>
        <w:rPr>
          <w:lang w:val="es-MX"/>
        </w:rPr>
      </w:pPr>
      <w:r w:rsidRPr="007809FB">
        <w:rPr>
          <w:b/>
          <w:lang w:val="es-MX"/>
        </w:rPr>
        <w:t>3.3 Selección de características</w:t>
      </w:r>
    </w:p>
    <w:p w14:paraId="03ADAA68" w14:textId="77777777" w:rsidR="00814E32" w:rsidRPr="007809FB" w:rsidRDefault="00000000">
      <w:pPr>
        <w:ind w:firstLine="720"/>
        <w:jc w:val="both"/>
        <w:rPr>
          <w:lang w:val="es-MX"/>
        </w:rPr>
      </w:pPr>
      <w:r w:rsidRPr="007809FB">
        <w:rPr>
          <w:lang w:val="es-MX"/>
        </w:rPr>
        <w:t>Se implementó una estrategia de selección de características basada en métodos de filtrado, mediante la intersección de dos criterios independientes: Información Mutua (MI, criterio no lineal) y ANOVA F-test (criterio lineal). Se seleccionaron las 30 variables más relevantes según cada criterio y se retuvo su intersección. El coeficiente de Jaccard entre ambos conjuntos fue de 27.66%, indicando baja redundancia y complementariedad entre los criterios.</w:t>
      </w:r>
    </w:p>
    <w:p w14:paraId="386F0976" w14:textId="77777777" w:rsidR="00814E32" w:rsidRPr="007809FB" w:rsidRDefault="00000000">
      <w:pPr>
        <w:ind w:firstLine="720"/>
        <w:jc w:val="both"/>
        <w:rPr>
          <w:lang w:val="es-MX"/>
        </w:rPr>
      </w:pPr>
      <w:r w:rsidRPr="007809FB">
        <w:rPr>
          <w:lang w:val="es-MX"/>
        </w:rPr>
        <w:lastRenderedPageBreak/>
        <w:t xml:space="preserve">La matriz resultante, denominada </w:t>
      </w:r>
      <w:proofErr w:type="spellStart"/>
      <w:r w:rsidRPr="007809FB">
        <w:rPr>
          <w:lang w:val="es-MX"/>
        </w:rPr>
        <w:t>X_intersect</w:t>
      </w:r>
      <w:proofErr w:type="spellEnd"/>
      <w:r w:rsidRPr="007809FB">
        <w:rPr>
          <w:lang w:val="es-MX"/>
        </w:rPr>
        <w:t>, contiene 16 variables: 12 biomarcadores lipidómicos, 2 variables clínicas (edad, FIT) y 2 indicadores categóricos (género, FOB). La Tabla 2 lista los biomarcadores lipidómicos incluidos.</w:t>
      </w:r>
    </w:p>
    <w:p w14:paraId="16CAB7C1" w14:textId="77777777" w:rsidR="00814E32" w:rsidRPr="007809FB" w:rsidRDefault="00000000">
      <w:pPr>
        <w:spacing w:before="240"/>
        <w:rPr>
          <w:lang w:val="es-MX"/>
        </w:rPr>
      </w:pPr>
      <w:r w:rsidRPr="007809FB">
        <w:rPr>
          <w:b/>
          <w:sz w:val="20"/>
          <w:lang w:val="es-MX"/>
        </w:rPr>
        <w:t xml:space="preserve">Tabla 2. Biomarcadores lipidómicos en </w:t>
      </w:r>
      <w:proofErr w:type="spellStart"/>
      <w:r w:rsidRPr="007809FB">
        <w:rPr>
          <w:b/>
          <w:sz w:val="20"/>
          <w:lang w:val="es-MX"/>
        </w:rPr>
        <w:t>X_intersect</w:t>
      </w:r>
      <w:proofErr w:type="spellEnd"/>
      <w:r w:rsidRPr="007809FB">
        <w:rPr>
          <w:b/>
          <w:sz w:val="20"/>
          <w:lang w:val="es-MX"/>
        </w:rPr>
        <w:t xml:space="preserve"> (selección por filtrado MI y ANOVA).</w:t>
      </w:r>
    </w:p>
    <w:tbl>
      <w:tblPr>
        <w:tblStyle w:val="Cuadrculaclara-nfasis1"/>
        <w:tblW w:w="0" w:type="auto"/>
        <w:jc w:val="center"/>
        <w:tblLook w:val="04A0" w:firstRow="1" w:lastRow="0" w:firstColumn="1" w:lastColumn="0" w:noHBand="0" w:noVBand="1"/>
      </w:tblPr>
      <w:tblGrid>
        <w:gridCol w:w="4419"/>
        <w:gridCol w:w="4419"/>
      </w:tblGrid>
      <w:tr w:rsidR="00814E32" w14:paraId="7AAFDCB9" w14:textId="77777777" w:rsidTr="00814E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w14:paraId="79F83051" w14:textId="77777777" w:rsidR="00814E32" w:rsidRDefault="00000000">
            <w:proofErr w:type="spellStart"/>
            <w:r>
              <w:rPr>
                <w:sz w:val="20"/>
              </w:rPr>
              <w:t>Biomarcador</w:t>
            </w:r>
            <w:proofErr w:type="spellEnd"/>
          </w:p>
        </w:tc>
        <w:tc>
          <w:tcPr>
            <w:tcW w:w="4419" w:type="dxa"/>
          </w:tcPr>
          <w:p w14:paraId="41627F06"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Familia lipídica</w:t>
            </w:r>
          </w:p>
        </w:tc>
      </w:tr>
      <w:tr w:rsidR="00814E32" w14:paraId="69130168"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w14:paraId="47B3935A" w14:textId="77777777" w:rsidR="00814E32" w:rsidRDefault="00000000">
            <w:r>
              <w:rPr>
                <w:sz w:val="20"/>
              </w:rPr>
              <w:t>CE(20:5)</w:t>
            </w:r>
          </w:p>
        </w:tc>
        <w:tc>
          <w:tcPr>
            <w:tcW w:w="4419" w:type="dxa"/>
          </w:tcPr>
          <w:p w14:paraId="4F28BE22"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Éster de colesterol</w:t>
            </w:r>
          </w:p>
        </w:tc>
      </w:tr>
      <w:tr w:rsidR="00814E32" w14:paraId="277FE580"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w14:paraId="1929D191" w14:textId="77777777" w:rsidR="00814E32" w:rsidRDefault="00000000">
            <w:r>
              <w:rPr>
                <w:sz w:val="20"/>
              </w:rPr>
              <w:t>GlcCer(d18:1/24:0)</w:t>
            </w:r>
          </w:p>
        </w:tc>
        <w:tc>
          <w:tcPr>
            <w:tcW w:w="4419" w:type="dxa"/>
          </w:tcPr>
          <w:p w14:paraId="745978E5"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Monohexosilceramida</w:t>
            </w:r>
          </w:p>
        </w:tc>
      </w:tr>
      <w:tr w:rsidR="00814E32" w14:paraId="6708D211"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w14:paraId="70942029" w14:textId="77777777" w:rsidR="00814E32" w:rsidRDefault="00000000">
            <w:r>
              <w:rPr>
                <w:sz w:val="20"/>
              </w:rPr>
              <w:t>PC(36:5)</w:t>
            </w:r>
          </w:p>
        </w:tc>
        <w:tc>
          <w:tcPr>
            <w:tcW w:w="4419" w:type="dxa"/>
          </w:tcPr>
          <w:p w14:paraId="7DA2BBBA"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Diacilglicerofosfocolina</w:t>
            </w:r>
          </w:p>
        </w:tc>
      </w:tr>
      <w:tr w:rsidR="00814E32" w14:paraId="6F7A2847"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w14:paraId="586FCDFC" w14:textId="77777777" w:rsidR="00814E32" w:rsidRDefault="00000000">
            <w:r>
              <w:rPr>
                <w:sz w:val="20"/>
              </w:rPr>
              <w:t>PC(O-16:0/16:0)</w:t>
            </w:r>
          </w:p>
        </w:tc>
        <w:tc>
          <w:tcPr>
            <w:tcW w:w="4419" w:type="dxa"/>
          </w:tcPr>
          <w:p w14:paraId="543E2765"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Éter-glicerofosfocolina</w:t>
            </w:r>
          </w:p>
        </w:tc>
      </w:tr>
      <w:tr w:rsidR="00814E32" w14:paraId="0885634A"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w14:paraId="3C681CC9" w14:textId="77777777" w:rsidR="00814E32" w:rsidRDefault="00000000">
            <w:r>
              <w:rPr>
                <w:sz w:val="20"/>
              </w:rPr>
              <w:t>PC(O-16:0/18:2)</w:t>
            </w:r>
          </w:p>
        </w:tc>
        <w:tc>
          <w:tcPr>
            <w:tcW w:w="4419" w:type="dxa"/>
          </w:tcPr>
          <w:p w14:paraId="01252191"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Éter-glicerofosfocolina</w:t>
            </w:r>
          </w:p>
        </w:tc>
      </w:tr>
      <w:tr w:rsidR="00814E32" w14:paraId="0910223A"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w14:paraId="003EB66D" w14:textId="77777777" w:rsidR="00814E32" w:rsidRDefault="00000000">
            <w:r>
              <w:rPr>
                <w:sz w:val="20"/>
              </w:rPr>
              <w:t>PC(O-34:1)</w:t>
            </w:r>
          </w:p>
        </w:tc>
        <w:tc>
          <w:tcPr>
            <w:tcW w:w="4419" w:type="dxa"/>
          </w:tcPr>
          <w:p w14:paraId="00E9167B"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Éter-glicerofosfocolina</w:t>
            </w:r>
          </w:p>
        </w:tc>
      </w:tr>
      <w:tr w:rsidR="00814E32" w14:paraId="46F6C753"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w14:paraId="4AFDB162" w14:textId="77777777" w:rsidR="00814E32" w:rsidRDefault="00000000">
            <w:r>
              <w:rPr>
                <w:sz w:val="20"/>
              </w:rPr>
              <w:t>SM(33:1)</w:t>
            </w:r>
          </w:p>
        </w:tc>
        <w:tc>
          <w:tcPr>
            <w:tcW w:w="4419" w:type="dxa"/>
          </w:tcPr>
          <w:p w14:paraId="018ADAC1"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Esfingomielina</w:t>
            </w:r>
          </w:p>
        </w:tc>
      </w:tr>
      <w:tr w:rsidR="00814E32" w14:paraId="1E132BFC"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w14:paraId="04499140" w14:textId="77777777" w:rsidR="00814E32" w:rsidRDefault="00000000">
            <w:r>
              <w:rPr>
                <w:sz w:val="20"/>
              </w:rPr>
              <w:t>SM(42:3)</w:t>
            </w:r>
          </w:p>
        </w:tc>
        <w:tc>
          <w:tcPr>
            <w:tcW w:w="4419" w:type="dxa"/>
          </w:tcPr>
          <w:p w14:paraId="1555F7E1"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Esfingomielina</w:t>
            </w:r>
          </w:p>
        </w:tc>
      </w:tr>
      <w:tr w:rsidR="00814E32" w14:paraId="73B11249"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w14:paraId="608B33B1" w14:textId="77777777" w:rsidR="00814E32" w:rsidRDefault="00000000">
            <w:r>
              <w:rPr>
                <w:sz w:val="20"/>
              </w:rPr>
              <w:t>SM(d18:1/22:0)</w:t>
            </w:r>
          </w:p>
        </w:tc>
        <w:tc>
          <w:tcPr>
            <w:tcW w:w="4419" w:type="dxa"/>
          </w:tcPr>
          <w:p w14:paraId="574B02A3"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Esfingomielina</w:t>
            </w:r>
          </w:p>
        </w:tc>
      </w:tr>
      <w:tr w:rsidR="00814E32" w14:paraId="5E8F3F95"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w14:paraId="6B176A03" w14:textId="77777777" w:rsidR="00814E32" w:rsidRDefault="00000000">
            <w:r>
              <w:rPr>
                <w:sz w:val="20"/>
              </w:rPr>
              <w:t>SM(d18:1/23:0)</w:t>
            </w:r>
          </w:p>
        </w:tc>
        <w:tc>
          <w:tcPr>
            <w:tcW w:w="4419" w:type="dxa"/>
          </w:tcPr>
          <w:p w14:paraId="7C4AD9B7"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Esfingomielina</w:t>
            </w:r>
          </w:p>
        </w:tc>
      </w:tr>
      <w:tr w:rsidR="00814E32" w14:paraId="0374E03C"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w14:paraId="38872BF1" w14:textId="77777777" w:rsidR="00814E32" w:rsidRDefault="00000000">
            <w:r>
              <w:rPr>
                <w:sz w:val="20"/>
              </w:rPr>
              <w:t>SM(d18:1/24:1) + SM(d18:2/24:0)</w:t>
            </w:r>
          </w:p>
        </w:tc>
        <w:tc>
          <w:tcPr>
            <w:tcW w:w="4419" w:type="dxa"/>
          </w:tcPr>
          <w:p w14:paraId="34AD9D36"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Esfingomielina</w:t>
            </w:r>
          </w:p>
        </w:tc>
      </w:tr>
      <w:tr w:rsidR="00814E32" w14:paraId="333AE0EB"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419" w:type="dxa"/>
          </w:tcPr>
          <w:p w14:paraId="35CB1971" w14:textId="77777777" w:rsidR="00814E32" w:rsidRDefault="00000000">
            <w:r>
              <w:rPr>
                <w:sz w:val="20"/>
              </w:rPr>
              <w:t>TG(51:4)</w:t>
            </w:r>
          </w:p>
        </w:tc>
        <w:tc>
          <w:tcPr>
            <w:tcW w:w="4419" w:type="dxa"/>
          </w:tcPr>
          <w:p w14:paraId="4B9BCE01"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Triacilglicerol</w:t>
            </w:r>
          </w:p>
        </w:tc>
      </w:tr>
    </w:tbl>
    <w:p w14:paraId="74D36811" w14:textId="77777777" w:rsidR="00814E32" w:rsidRDefault="00814E32"/>
    <w:p w14:paraId="6D4C4610" w14:textId="77777777" w:rsidR="00814E32" w:rsidRDefault="00000000">
      <w:pPr>
        <w:spacing w:before="240" w:after="80"/>
      </w:pPr>
      <w:r>
        <w:rPr>
          <w:b/>
        </w:rPr>
        <w:t>3.4 Modelos evaluados</w:t>
      </w:r>
    </w:p>
    <w:p w14:paraId="2228D79D" w14:textId="77777777" w:rsidR="00814E32" w:rsidRPr="007809FB" w:rsidRDefault="00000000">
      <w:pPr>
        <w:ind w:firstLine="720"/>
        <w:jc w:val="both"/>
        <w:rPr>
          <w:lang w:val="es-MX"/>
        </w:rPr>
      </w:pPr>
      <w:r w:rsidRPr="007809FB">
        <w:rPr>
          <w:lang w:val="es-MX"/>
        </w:rPr>
        <w:t xml:space="preserve">Se comparó un total de 14 modelos organizados en dos fases. En la primera fase se evaluaron 6 clasificadores individuales con optimización de </w:t>
      </w:r>
      <w:proofErr w:type="spellStart"/>
      <w:r w:rsidRPr="007809FB">
        <w:rPr>
          <w:lang w:val="es-MX"/>
        </w:rPr>
        <w:t>hiperparámetros</w:t>
      </w:r>
      <w:proofErr w:type="spellEnd"/>
      <w:r w:rsidRPr="007809FB">
        <w:rPr>
          <w:lang w:val="es-MX"/>
        </w:rPr>
        <w:t xml:space="preserve"> mediante </w:t>
      </w:r>
      <w:proofErr w:type="spellStart"/>
      <w:r w:rsidRPr="007809FB">
        <w:rPr>
          <w:lang w:val="es-MX"/>
        </w:rPr>
        <w:t>GridSearchCV</w:t>
      </w:r>
      <w:proofErr w:type="spellEnd"/>
      <w:r w:rsidRPr="007809FB">
        <w:rPr>
          <w:lang w:val="es-MX"/>
        </w:rPr>
        <w:t xml:space="preserve"> con validación cruzada estratificada de 5 particiones: Regresión Logística, Árbol de Decisión, Máquina de Vectores de Soporte (SVM), K-Vecinos más Cercanos (KNN), </w:t>
      </w:r>
      <w:proofErr w:type="spellStart"/>
      <w:r w:rsidRPr="007809FB">
        <w:rPr>
          <w:lang w:val="es-MX"/>
        </w:rPr>
        <w:t>Naive</w:t>
      </w:r>
      <w:proofErr w:type="spellEnd"/>
      <w:r w:rsidRPr="007809FB">
        <w:rPr>
          <w:lang w:val="es-MX"/>
        </w:rPr>
        <w:t xml:space="preserve"> Bayes Gaussiano y Análisis Discriminante Lineal (LDA). Todos los </w:t>
      </w:r>
      <w:r w:rsidRPr="007809FB">
        <w:rPr>
          <w:lang w:val="es-MX"/>
        </w:rPr>
        <w:lastRenderedPageBreak/>
        <w:t xml:space="preserve">modelos aplicables se configuraron con </w:t>
      </w:r>
      <w:proofErr w:type="spellStart"/>
      <w:r w:rsidRPr="007809FB">
        <w:rPr>
          <w:lang w:val="es-MX"/>
        </w:rPr>
        <w:t>class_weight</w:t>
      </w:r>
      <w:proofErr w:type="spellEnd"/>
      <w:r w:rsidRPr="007809FB">
        <w:rPr>
          <w:lang w:val="es-MX"/>
        </w:rPr>
        <w:t>='</w:t>
      </w:r>
      <w:proofErr w:type="spellStart"/>
      <w:r w:rsidRPr="007809FB">
        <w:rPr>
          <w:lang w:val="es-MX"/>
        </w:rPr>
        <w:t>balanced</w:t>
      </w:r>
      <w:proofErr w:type="spellEnd"/>
      <w:r w:rsidRPr="007809FB">
        <w:rPr>
          <w:lang w:val="es-MX"/>
        </w:rPr>
        <w:t>' para compensar el desbalance moderado de clases.</w:t>
      </w:r>
    </w:p>
    <w:p w14:paraId="13E468FF" w14:textId="77777777" w:rsidR="00814E32" w:rsidRPr="007809FB" w:rsidRDefault="00000000">
      <w:pPr>
        <w:ind w:firstLine="720"/>
        <w:jc w:val="both"/>
        <w:rPr>
          <w:lang w:val="es-MX"/>
        </w:rPr>
      </w:pPr>
      <w:r w:rsidRPr="007809FB">
        <w:rPr>
          <w:lang w:val="es-MX"/>
        </w:rPr>
        <w:t>En la segunda fase se evaluaron 8 modelos ensemble: 5 homogéneos (</w:t>
      </w:r>
      <w:proofErr w:type="spellStart"/>
      <w:r w:rsidRPr="007809FB">
        <w:rPr>
          <w:lang w:val="es-MX"/>
        </w:rPr>
        <w:t>Bagging</w:t>
      </w:r>
      <w:proofErr w:type="spellEnd"/>
      <w:r w:rsidRPr="007809FB">
        <w:rPr>
          <w:lang w:val="es-MX"/>
        </w:rPr>
        <w:t xml:space="preserve"> Tree, Random Forest, </w:t>
      </w:r>
      <w:proofErr w:type="spellStart"/>
      <w:r w:rsidRPr="007809FB">
        <w:rPr>
          <w:lang w:val="es-MX"/>
        </w:rPr>
        <w:t>Gradient</w:t>
      </w:r>
      <w:proofErr w:type="spellEnd"/>
      <w:r w:rsidRPr="007809FB">
        <w:rPr>
          <w:lang w:val="es-MX"/>
        </w:rPr>
        <w:t xml:space="preserve"> </w:t>
      </w:r>
      <w:proofErr w:type="spellStart"/>
      <w:r w:rsidRPr="007809FB">
        <w:rPr>
          <w:lang w:val="es-MX"/>
        </w:rPr>
        <w:t>Boosting</w:t>
      </w:r>
      <w:proofErr w:type="spellEnd"/>
      <w:r w:rsidRPr="007809FB">
        <w:rPr>
          <w:lang w:val="es-MX"/>
        </w:rPr>
        <w:t xml:space="preserve">, </w:t>
      </w:r>
      <w:proofErr w:type="spellStart"/>
      <w:r w:rsidRPr="007809FB">
        <w:rPr>
          <w:lang w:val="es-MX"/>
        </w:rPr>
        <w:t>AdaBoost</w:t>
      </w:r>
      <w:proofErr w:type="spellEnd"/>
      <w:r w:rsidRPr="007809FB">
        <w:rPr>
          <w:lang w:val="es-MX"/>
        </w:rPr>
        <w:t>, Extra Trees) y 2 heterogéneos (</w:t>
      </w:r>
      <w:proofErr w:type="spellStart"/>
      <w:r w:rsidRPr="007809FB">
        <w:rPr>
          <w:lang w:val="es-MX"/>
        </w:rPr>
        <w:t>Stacking</w:t>
      </w:r>
      <w:proofErr w:type="spellEnd"/>
      <w:r w:rsidRPr="007809FB">
        <w:rPr>
          <w:lang w:val="es-MX"/>
        </w:rPr>
        <w:t xml:space="preserve"> con meta-clasificador de Regresión Logística, </w:t>
      </w:r>
      <w:proofErr w:type="spellStart"/>
      <w:r w:rsidRPr="007809FB">
        <w:rPr>
          <w:lang w:val="es-MX"/>
        </w:rPr>
        <w:t>Voting</w:t>
      </w:r>
      <w:proofErr w:type="spellEnd"/>
      <w:r w:rsidRPr="007809FB">
        <w:rPr>
          <w:lang w:val="es-MX"/>
        </w:rPr>
        <w:t xml:space="preserve"> </w:t>
      </w:r>
      <w:proofErr w:type="spellStart"/>
      <w:r w:rsidRPr="007809FB">
        <w:rPr>
          <w:lang w:val="es-MX"/>
        </w:rPr>
        <w:t>Soft</w:t>
      </w:r>
      <w:proofErr w:type="spellEnd"/>
      <w:r w:rsidRPr="007809FB">
        <w:rPr>
          <w:lang w:val="es-MX"/>
        </w:rPr>
        <w:t>), además del Árbol de Decisión individual como referencia.</w:t>
      </w:r>
    </w:p>
    <w:p w14:paraId="3C9CB2A3" w14:textId="77777777" w:rsidR="00814E32" w:rsidRPr="007809FB" w:rsidRDefault="00000000">
      <w:pPr>
        <w:spacing w:before="240" w:after="80"/>
        <w:rPr>
          <w:lang w:val="es-MX"/>
        </w:rPr>
      </w:pPr>
      <w:r w:rsidRPr="007809FB">
        <w:rPr>
          <w:b/>
          <w:lang w:val="es-MX"/>
        </w:rPr>
        <w:t>3.5 Estrategia de evaluación</w:t>
      </w:r>
    </w:p>
    <w:p w14:paraId="627DF34D" w14:textId="77777777" w:rsidR="00814E32" w:rsidRPr="007809FB" w:rsidRDefault="00000000">
      <w:pPr>
        <w:ind w:firstLine="720"/>
        <w:jc w:val="both"/>
        <w:rPr>
          <w:lang w:val="es-MX"/>
        </w:rPr>
      </w:pPr>
      <w:r w:rsidRPr="007809FB">
        <w:rPr>
          <w:lang w:val="es-MX"/>
        </w:rPr>
        <w:t xml:space="preserve">Se implementó una evaluación en dos niveles para prevenir fuga de datos (data </w:t>
      </w:r>
      <w:proofErr w:type="spellStart"/>
      <w:r w:rsidRPr="007809FB">
        <w:rPr>
          <w:lang w:val="es-MX"/>
        </w:rPr>
        <w:t>leakage</w:t>
      </w:r>
      <w:proofErr w:type="spellEnd"/>
      <w:r w:rsidRPr="007809FB">
        <w:rPr>
          <w:lang w:val="es-MX"/>
        </w:rPr>
        <w:t xml:space="preserve">). El conjunto de datos se dividió en </w:t>
      </w:r>
      <w:proofErr w:type="spellStart"/>
      <w:r w:rsidRPr="007809FB">
        <w:rPr>
          <w:lang w:val="es-MX"/>
        </w:rPr>
        <w:t>X_dev</w:t>
      </w:r>
      <w:proofErr w:type="spellEnd"/>
      <w:r w:rsidRPr="007809FB">
        <w:rPr>
          <w:lang w:val="es-MX"/>
        </w:rPr>
        <w:t xml:space="preserve"> (80%, n=168) para entrenamiento y optimización, y </w:t>
      </w:r>
      <w:proofErr w:type="spellStart"/>
      <w:r w:rsidRPr="007809FB">
        <w:rPr>
          <w:lang w:val="es-MX"/>
        </w:rPr>
        <w:t>X_test</w:t>
      </w:r>
      <w:proofErr w:type="spellEnd"/>
      <w:r w:rsidRPr="007809FB">
        <w:rPr>
          <w:lang w:val="es-MX"/>
        </w:rPr>
        <w:t xml:space="preserve"> (20%, n=43) como conjunto </w:t>
      </w:r>
      <w:proofErr w:type="spellStart"/>
      <w:r w:rsidRPr="007809FB">
        <w:rPr>
          <w:lang w:val="es-MX"/>
        </w:rPr>
        <w:t>held-out</w:t>
      </w:r>
      <w:proofErr w:type="spellEnd"/>
      <w:r w:rsidRPr="007809FB">
        <w:rPr>
          <w:lang w:val="es-MX"/>
        </w:rPr>
        <w:t xml:space="preserve"> independiente, nunca utilizado durante la selección de modelos ni la optimización de </w:t>
      </w:r>
      <w:proofErr w:type="spellStart"/>
      <w:r w:rsidRPr="007809FB">
        <w:rPr>
          <w:lang w:val="es-MX"/>
        </w:rPr>
        <w:t>hiperparámetros</w:t>
      </w:r>
      <w:proofErr w:type="spellEnd"/>
      <w:r w:rsidRPr="007809FB">
        <w:rPr>
          <w:lang w:val="es-MX"/>
        </w:rPr>
        <w:t xml:space="preserve">. Sobre </w:t>
      </w:r>
      <w:proofErr w:type="spellStart"/>
      <w:r w:rsidRPr="007809FB">
        <w:rPr>
          <w:lang w:val="es-MX"/>
        </w:rPr>
        <w:t>X_dev</w:t>
      </w:r>
      <w:proofErr w:type="spellEnd"/>
      <w:r w:rsidRPr="007809FB">
        <w:rPr>
          <w:lang w:val="es-MX"/>
        </w:rPr>
        <w:t xml:space="preserve"> se aplicó validación cruzada estratificada de 5 particiones.</w:t>
      </w:r>
    </w:p>
    <w:p w14:paraId="14EBB3E2" w14:textId="77777777" w:rsidR="00814E32" w:rsidRPr="007809FB" w:rsidRDefault="00000000">
      <w:pPr>
        <w:ind w:firstLine="720"/>
        <w:jc w:val="both"/>
        <w:rPr>
          <w:lang w:val="es-MX"/>
        </w:rPr>
      </w:pPr>
      <w:r w:rsidRPr="007809FB">
        <w:rPr>
          <w:lang w:val="es-MX"/>
        </w:rPr>
        <w:t>La métrica primaria de evaluación fue el F1 macro, que pondera por igual el rendimiento en las tres clases, evitando el sesgo hacia clases mayoritarias que introduce la exactitud (</w:t>
      </w:r>
      <w:proofErr w:type="spellStart"/>
      <w:r w:rsidRPr="007809FB">
        <w:rPr>
          <w:lang w:val="es-MX"/>
        </w:rPr>
        <w:t>accuracy</w:t>
      </w:r>
      <w:proofErr w:type="spellEnd"/>
      <w:r w:rsidRPr="007809FB">
        <w:rPr>
          <w:lang w:val="es-MX"/>
        </w:rPr>
        <w:t>). Las métricas secundarias incluyeron AUC-ROC macro (one-vs-</w:t>
      </w:r>
      <w:proofErr w:type="spellStart"/>
      <w:r w:rsidRPr="007809FB">
        <w:rPr>
          <w:lang w:val="es-MX"/>
        </w:rPr>
        <w:t>rest</w:t>
      </w:r>
      <w:proofErr w:type="spellEnd"/>
      <w:r w:rsidRPr="007809FB">
        <w:rPr>
          <w:lang w:val="es-MX"/>
        </w:rPr>
        <w:t xml:space="preserve">), precisión y </w:t>
      </w:r>
      <w:proofErr w:type="spellStart"/>
      <w:r w:rsidRPr="007809FB">
        <w:rPr>
          <w:lang w:val="es-MX"/>
        </w:rPr>
        <w:t>recall</w:t>
      </w:r>
      <w:proofErr w:type="spellEnd"/>
      <w:r w:rsidRPr="007809FB">
        <w:rPr>
          <w:lang w:val="es-MX"/>
        </w:rPr>
        <w:t xml:space="preserve"> por clase, con énfasis especial en el rendimiento sobre la clase AA como métrica de relevancia clínica.</w:t>
      </w:r>
    </w:p>
    <w:p w14:paraId="31608F96" w14:textId="77777777" w:rsidR="00814E32" w:rsidRPr="007809FB" w:rsidRDefault="00000000">
      <w:pPr>
        <w:spacing w:before="240" w:after="80"/>
        <w:rPr>
          <w:lang w:val="es-MX"/>
        </w:rPr>
      </w:pPr>
      <w:r w:rsidRPr="007809FB">
        <w:rPr>
          <w:b/>
          <w:lang w:val="es-MX"/>
        </w:rPr>
        <w:t xml:space="preserve">3.6 Análisis de </w:t>
      </w:r>
      <w:proofErr w:type="spellStart"/>
      <w:r w:rsidRPr="007809FB">
        <w:rPr>
          <w:b/>
          <w:lang w:val="es-MX"/>
        </w:rPr>
        <w:t>explicabilidad</w:t>
      </w:r>
      <w:proofErr w:type="spellEnd"/>
      <w:r w:rsidRPr="007809FB">
        <w:rPr>
          <w:b/>
          <w:lang w:val="es-MX"/>
        </w:rPr>
        <w:t xml:space="preserve"> mediante SHAP</w:t>
      </w:r>
    </w:p>
    <w:p w14:paraId="607146F4" w14:textId="77777777" w:rsidR="00814E32" w:rsidRPr="007809FB" w:rsidRDefault="00000000">
      <w:pPr>
        <w:ind w:firstLine="720"/>
        <w:jc w:val="both"/>
        <w:rPr>
          <w:lang w:val="es-MX"/>
        </w:rPr>
      </w:pPr>
      <w:r w:rsidRPr="007809FB">
        <w:rPr>
          <w:lang w:val="es-MX"/>
        </w:rPr>
        <w:t>Para cuantificar la contribución individual de cada biomarcador a las predicciones del modelo, se aplicó el marco SHAP (</w:t>
      </w:r>
      <w:proofErr w:type="spellStart"/>
      <w:r w:rsidRPr="007809FB">
        <w:rPr>
          <w:lang w:val="es-MX"/>
        </w:rPr>
        <w:t>SHapley</w:t>
      </w:r>
      <w:proofErr w:type="spellEnd"/>
      <w:r w:rsidRPr="007809FB">
        <w:rPr>
          <w:lang w:val="es-MX"/>
        </w:rPr>
        <w:t xml:space="preserve"> </w:t>
      </w:r>
      <w:proofErr w:type="spellStart"/>
      <w:r w:rsidRPr="007809FB">
        <w:rPr>
          <w:lang w:val="es-MX"/>
        </w:rPr>
        <w:t>Additive</w:t>
      </w:r>
      <w:proofErr w:type="spellEnd"/>
      <w:r w:rsidRPr="007809FB">
        <w:rPr>
          <w:lang w:val="es-MX"/>
        </w:rPr>
        <w:t xml:space="preserve"> </w:t>
      </w:r>
      <w:proofErr w:type="spellStart"/>
      <w:r w:rsidRPr="007809FB">
        <w:rPr>
          <w:lang w:val="es-MX"/>
        </w:rPr>
        <w:t>exPlanations</w:t>
      </w:r>
      <w:proofErr w:type="spellEnd"/>
      <w:r w:rsidRPr="007809FB">
        <w:rPr>
          <w:lang w:val="es-MX"/>
        </w:rPr>
        <w:t xml:space="preserve">) [20], fundamentado en la teoría de valores de Shapley de la teoría de juegos cooperativos. A diferencia de la importancia por impureza media (Gini), que proporciona un ranking global único, SHAP </w:t>
      </w:r>
      <w:r w:rsidRPr="007809FB">
        <w:rPr>
          <w:lang w:val="es-MX"/>
        </w:rPr>
        <w:lastRenderedPageBreak/>
        <w:t>descompone cada predicción en la contribución aditiva de cada variable, permitiendo analizar tanto patrones globales como explicaciones a nivel de paciente individual.</w:t>
      </w:r>
    </w:p>
    <w:p w14:paraId="74BBFA32" w14:textId="77777777" w:rsidR="00814E32" w:rsidRPr="007809FB" w:rsidRDefault="00000000">
      <w:pPr>
        <w:ind w:firstLine="720"/>
        <w:jc w:val="both"/>
        <w:rPr>
          <w:lang w:val="es-MX"/>
        </w:rPr>
      </w:pPr>
      <w:r w:rsidRPr="007809FB">
        <w:rPr>
          <w:lang w:val="es-MX"/>
        </w:rPr>
        <w:t xml:space="preserve">Se utilizó </w:t>
      </w:r>
      <w:proofErr w:type="spellStart"/>
      <w:r w:rsidRPr="007809FB">
        <w:rPr>
          <w:lang w:val="es-MX"/>
        </w:rPr>
        <w:t>TreeExplainer</w:t>
      </w:r>
      <w:proofErr w:type="spellEnd"/>
      <w:r w:rsidRPr="007809FB">
        <w:rPr>
          <w:lang w:val="es-MX"/>
        </w:rPr>
        <w:t xml:space="preserve"> [21] sobre cada uno de los 100 árboles base del </w:t>
      </w:r>
      <w:proofErr w:type="spellStart"/>
      <w:r w:rsidRPr="007809FB">
        <w:rPr>
          <w:lang w:val="es-MX"/>
        </w:rPr>
        <w:t>Bagging</w:t>
      </w:r>
      <w:proofErr w:type="spellEnd"/>
      <w:r w:rsidRPr="007809FB">
        <w:rPr>
          <w:lang w:val="es-MX"/>
        </w:rPr>
        <w:t xml:space="preserve"> Tree, promediando los valores SHAP resultantes para obtener las contribuciones del ensemble completo. Los valores SHAP se calcularon sobre el conjunto </w:t>
      </w:r>
      <w:proofErr w:type="spellStart"/>
      <w:r w:rsidRPr="007809FB">
        <w:rPr>
          <w:lang w:val="es-MX"/>
        </w:rPr>
        <w:t>held-out</w:t>
      </w:r>
      <w:proofErr w:type="spellEnd"/>
      <w:r w:rsidRPr="007809FB">
        <w:rPr>
          <w:lang w:val="es-MX"/>
        </w:rPr>
        <w:t xml:space="preserve"> (n=43) y se desagregaron por clase (AA, CCR, CTRL), permitiendo identificar qué biomarcadores son más relevantes para cada estado de progresión del CCR.</w:t>
      </w:r>
    </w:p>
    <w:p w14:paraId="6A7A3E28" w14:textId="77777777" w:rsidR="00814E32" w:rsidRPr="007809FB" w:rsidRDefault="00000000">
      <w:pPr>
        <w:spacing w:before="360" w:after="120"/>
        <w:rPr>
          <w:lang w:val="es-MX"/>
        </w:rPr>
      </w:pPr>
      <w:r w:rsidRPr="007809FB">
        <w:rPr>
          <w:b/>
          <w:sz w:val="28"/>
          <w:lang w:val="es-MX"/>
        </w:rPr>
        <w:t>4. Resultados</w:t>
      </w:r>
    </w:p>
    <w:p w14:paraId="6EAF773E" w14:textId="77777777" w:rsidR="00814E32" w:rsidRPr="007809FB" w:rsidRDefault="00000000">
      <w:pPr>
        <w:spacing w:before="240" w:after="80"/>
        <w:rPr>
          <w:lang w:val="es-MX"/>
        </w:rPr>
      </w:pPr>
      <w:r w:rsidRPr="007809FB">
        <w:rPr>
          <w:b/>
          <w:lang w:val="es-MX"/>
        </w:rPr>
        <w:t>4.1 Comparación de clasificadores individuales</w:t>
      </w:r>
    </w:p>
    <w:p w14:paraId="5C7E893F" w14:textId="77777777" w:rsidR="00814E32" w:rsidRPr="007809FB" w:rsidRDefault="00000000">
      <w:pPr>
        <w:ind w:firstLine="720"/>
        <w:jc w:val="both"/>
        <w:rPr>
          <w:lang w:val="es-MX"/>
        </w:rPr>
      </w:pPr>
      <w:r w:rsidRPr="007809FB">
        <w:rPr>
          <w:lang w:val="es-MX"/>
        </w:rPr>
        <w:t xml:space="preserve">La Tabla 3 presenta los resultados de los 6 clasificadores individuales tras optimización de </w:t>
      </w:r>
      <w:proofErr w:type="spellStart"/>
      <w:r w:rsidRPr="007809FB">
        <w:rPr>
          <w:lang w:val="es-MX"/>
        </w:rPr>
        <w:t>hiperparámetros</w:t>
      </w:r>
      <w:proofErr w:type="spellEnd"/>
      <w:r w:rsidRPr="007809FB">
        <w:rPr>
          <w:lang w:val="es-MX"/>
        </w:rPr>
        <w:t xml:space="preserve">. El Árbol de Decisión fue seleccionado como mejor modelo individual (F1 macro </w:t>
      </w:r>
      <w:proofErr w:type="spellStart"/>
      <w:r w:rsidRPr="007809FB">
        <w:rPr>
          <w:lang w:val="es-MX"/>
        </w:rPr>
        <w:t>held-out</w:t>
      </w:r>
      <w:proofErr w:type="spellEnd"/>
      <w:r w:rsidRPr="007809FB">
        <w:rPr>
          <w:lang w:val="es-MX"/>
        </w:rPr>
        <w:t xml:space="preserve"> = 0.681) por su consistencia entre validación cruzada y conjunto de prueba (brecha = 0.026, frente a 0.062 del KNN) y su interpretabilidad clínica.</w:t>
      </w:r>
    </w:p>
    <w:p w14:paraId="7D641C4F" w14:textId="77777777" w:rsidR="00814E32" w:rsidRPr="007809FB" w:rsidRDefault="00000000">
      <w:pPr>
        <w:spacing w:before="240"/>
        <w:rPr>
          <w:lang w:val="es-MX"/>
        </w:rPr>
      </w:pPr>
      <w:r w:rsidRPr="007809FB">
        <w:rPr>
          <w:b/>
          <w:sz w:val="20"/>
          <w:lang w:val="es-MX"/>
        </w:rPr>
        <w:t>Tabla 3. Rendimiento de clasificadores individuales (</w:t>
      </w:r>
      <w:proofErr w:type="spellStart"/>
      <w:r w:rsidRPr="007809FB">
        <w:rPr>
          <w:b/>
          <w:sz w:val="20"/>
          <w:lang w:val="es-MX"/>
        </w:rPr>
        <w:t>X_intersect</w:t>
      </w:r>
      <w:proofErr w:type="spellEnd"/>
      <w:r w:rsidRPr="007809FB">
        <w:rPr>
          <w:b/>
          <w:sz w:val="20"/>
          <w:lang w:val="es-MX"/>
        </w:rPr>
        <w:t>, 16 variables).</w:t>
      </w:r>
    </w:p>
    <w:tbl>
      <w:tblPr>
        <w:tblStyle w:val="Cuadrculaclara-nfasis1"/>
        <w:tblW w:w="0" w:type="auto"/>
        <w:jc w:val="center"/>
        <w:tblLook w:val="04A0" w:firstRow="1" w:lastRow="0" w:firstColumn="1" w:lastColumn="0" w:noHBand="0" w:noVBand="1"/>
      </w:tblPr>
      <w:tblGrid>
        <w:gridCol w:w="2209"/>
        <w:gridCol w:w="2209"/>
        <w:gridCol w:w="2209"/>
        <w:gridCol w:w="2209"/>
      </w:tblGrid>
      <w:tr w:rsidR="00814E32" w14:paraId="62ABA4E3" w14:textId="77777777" w:rsidTr="00814E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049F0E85" w14:textId="77777777" w:rsidR="00814E32" w:rsidRDefault="00000000">
            <w:r>
              <w:rPr>
                <w:sz w:val="20"/>
              </w:rPr>
              <w:t>Modelo</w:t>
            </w:r>
          </w:p>
        </w:tc>
        <w:tc>
          <w:tcPr>
            <w:tcW w:w="2209" w:type="dxa"/>
          </w:tcPr>
          <w:p w14:paraId="64FCB5B1"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F1 CV</w:t>
            </w:r>
          </w:p>
        </w:tc>
        <w:tc>
          <w:tcPr>
            <w:tcW w:w="2209" w:type="dxa"/>
          </w:tcPr>
          <w:p w14:paraId="4DD33C0A"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F1 Held-out</w:t>
            </w:r>
          </w:p>
        </w:tc>
        <w:tc>
          <w:tcPr>
            <w:tcW w:w="2209" w:type="dxa"/>
          </w:tcPr>
          <w:p w14:paraId="3BB32553"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Brecha</w:t>
            </w:r>
          </w:p>
        </w:tc>
      </w:tr>
      <w:tr w:rsidR="00814E32" w14:paraId="59073467"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6DE17A18" w14:textId="77777777" w:rsidR="00814E32" w:rsidRDefault="00000000">
            <w:r>
              <w:rPr>
                <w:sz w:val="20"/>
              </w:rPr>
              <w:t>KNN (k=7, Manhattan)</w:t>
            </w:r>
          </w:p>
        </w:tc>
        <w:tc>
          <w:tcPr>
            <w:tcW w:w="2209" w:type="dxa"/>
          </w:tcPr>
          <w:p w14:paraId="7E15DE8E"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0.729</w:t>
            </w:r>
          </w:p>
        </w:tc>
        <w:tc>
          <w:tcPr>
            <w:tcW w:w="2209" w:type="dxa"/>
          </w:tcPr>
          <w:p w14:paraId="2807E6E6"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0.667</w:t>
            </w:r>
          </w:p>
        </w:tc>
        <w:tc>
          <w:tcPr>
            <w:tcW w:w="2209" w:type="dxa"/>
          </w:tcPr>
          <w:p w14:paraId="5231BC07"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0.062</w:t>
            </w:r>
          </w:p>
        </w:tc>
      </w:tr>
      <w:tr w:rsidR="00814E32" w14:paraId="556AA034"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047247C9" w14:textId="77777777" w:rsidR="00814E32" w:rsidRPr="007809FB" w:rsidRDefault="00000000">
            <w:pPr>
              <w:rPr>
                <w:lang w:val="es-MX"/>
              </w:rPr>
            </w:pPr>
            <w:r w:rsidRPr="007809FB">
              <w:rPr>
                <w:sz w:val="20"/>
                <w:lang w:val="es-MX"/>
              </w:rPr>
              <w:t>Árbol de Decisión (</w:t>
            </w:r>
            <w:proofErr w:type="spellStart"/>
            <w:r w:rsidRPr="007809FB">
              <w:rPr>
                <w:sz w:val="20"/>
                <w:lang w:val="es-MX"/>
              </w:rPr>
              <w:t>max_depth</w:t>
            </w:r>
            <w:proofErr w:type="spellEnd"/>
            <w:r w:rsidRPr="007809FB">
              <w:rPr>
                <w:sz w:val="20"/>
                <w:lang w:val="es-MX"/>
              </w:rPr>
              <w:t>=5)</w:t>
            </w:r>
          </w:p>
        </w:tc>
        <w:tc>
          <w:tcPr>
            <w:tcW w:w="2209" w:type="dxa"/>
          </w:tcPr>
          <w:p w14:paraId="2F38A0DE"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0.707</w:t>
            </w:r>
          </w:p>
        </w:tc>
        <w:tc>
          <w:tcPr>
            <w:tcW w:w="2209" w:type="dxa"/>
          </w:tcPr>
          <w:p w14:paraId="2A803CFE"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0.681</w:t>
            </w:r>
          </w:p>
        </w:tc>
        <w:tc>
          <w:tcPr>
            <w:tcW w:w="2209" w:type="dxa"/>
          </w:tcPr>
          <w:p w14:paraId="14B095AC"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0.026</w:t>
            </w:r>
          </w:p>
        </w:tc>
      </w:tr>
      <w:tr w:rsidR="00814E32" w14:paraId="3E4AC83D"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7690D7FC" w14:textId="77777777" w:rsidR="00814E32" w:rsidRDefault="00000000">
            <w:r>
              <w:rPr>
                <w:sz w:val="20"/>
              </w:rPr>
              <w:t>Regresión Logística (C=0.001)</w:t>
            </w:r>
          </w:p>
        </w:tc>
        <w:tc>
          <w:tcPr>
            <w:tcW w:w="2209" w:type="dxa"/>
          </w:tcPr>
          <w:p w14:paraId="2DBACA5F"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0.632</w:t>
            </w:r>
          </w:p>
        </w:tc>
        <w:tc>
          <w:tcPr>
            <w:tcW w:w="2209" w:type="dxa"/>
          </w:tcPr>
          <w:p w14:paraId="71F260AC"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209" w:type="dxa"/>
          </w:tcPr>
          <w:p w14:paraId="7A738F3B"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814E32" w14:paraId="0D0BBC46"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55F0A519" w14:textId="77777777" w:rsidR="00814E32" w:rsidRDefault="00000000">
            <w:r>
              <w:rPr>
                <w:sz w:val="20"/>
              </w:rPr>
              <w:lastRenderedPageBreak/>
              <w:t>SVM (C=100, RBF)</w:t>
            </w:r>
          </w:p>
        </w:tc>
        <w:tc>
          <w:tcPr>
            <w:tcW w:w="2209" w:type="dxa"/>
          </w:tcPr>
          <w:p w14:paraId="0BFAA13A"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0.619</w:t>
            </w:r>
          </w:p>
        </w:tc>
        <w:tc>
          <w:tcPr>
            <w:tcW w:w="2209" w:type="dxa"/>
          </w:tcPr>
          <w:p w14:paraId="2907EC30"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209" w:type="dxa"/>
          </w:tcPr>
          <w:p w14:paraId="2FFCB72B"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814E32" w14:paraId="7AE1CCF8"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16428021" w14:textId="77777777" w:rsidR="00814E32" w:rsidRDefault="00000000">
            <w:r>
              <w:rPr>
                <w:sz w:val="20"/>
              </w:rPr>
              <w:t>LDA (shrinkage=auto)</w:t>
            </w:r>
          </w:p>
        </w:tc>
        <w:tc>
          <w:tcPr>
            <w:tcW w:w="2209" w:type="dxa"/>
          </w:tcPr>
          <w:p w14:paraId="103A3C65"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0.578</w:t>
            </w:r>
          </w:p>
        </w:tc>
        <w:tc>
          <w:tcPr>
            <w:tcW w:w="2209" w:type="dxa"/>
          </w:tcPr>
          <w:p w14:paraId="252BB055"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209" w:type="dxa"/>
          </w:tcPr>
          <w:p w14:paraId="181864DA"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814E32" w14:paraId="43EEBA9A"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438134C3" w14:textId="77777777" w:rsidR="00814E32" w:rsidRDefault="00000000">
            <w:r>
              <w:rPr>
                <w:sz w:val="20"/>
              </w:rPr>
              <w:t>Naive Bayes Gaussiano</w:t>
            </w:r>
          </w:p>
        </w:tc>
        <w:tc>
          <w:tcPr>
            <w:tcW w:w="2209" w:type="dxa"/>
          </w:tcPr>
          <w:p w14:paraId="4ED2019E"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0.565</w:t>
            </w:r>
          </w:p>
        </w:tc>
        <w:tc>
          <w:tcPr>
            <w:tcW w:w="2209" w:type="dxa"/>
          </w:tcPr>
          <w:p w14:paraId="6994F000"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209" w:type="dxa"/>
          </w:tcPr>
          <w:p w14:paraId="11C81588"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bl>
    <w:p w14:paraId="387988A0" w14:textId="77777777" w:rsidR="00814E32" w:rsidRDefault="00814E32"/>
    <w:p w14:paraId="297B446F" w14:textId="77777777" w:rsidR="00814E32" w:rsidRDefault="00000000">
      <w:pPr>
        <w:spacing w:before="240" w:after="80"/>
      </w:pPr>
      <w:r>
        <w:rPr>
          <w:b/>
        </w:rPr>
        <w:t>4.2 Comparación de modelos ensemble</w:t>
      </w:r>
    </w:p>
    <w:p w14:paraId="78FD15C9" w14:textId="77777777" w:rsidR="00814E32" w:rsidRPr="007809FB" w:rsidRDefault="00000000">
      <w:pPr>
        <w:ind w:firstLine="720"/>
        <w:jc w:val="both"/>
        <w:rPr>
          <w:lang w:val="es-MX"/>
        </w:rPr>
      </w:pPr>
      <w:r w:rsidRPr="007809FB">
        <w:rPr>
          <w:lang w:val="es-MX"/>
        </w:rPr>
        <w:t xml:space="preserve">La Tabla 4 muestra los resultados de los 8 modelos ensemble. El </w:t>
      </w:r>
      <w:proofErr w:type="spellStart"/>
      <w:r w:rsidRPr="007809FB">
        <w:rPr>
          <w:lang w:val="es-MX"/>
        </w:rPr>
        <w:t>Bagging</w:t>
      </w:r>
      <w:proofErr w:type="spellEnd"/>
      <w:r w:rsidRPr="007809FB">
        <w:rPr>
          <w:lang w:val="es-MX"/>
        </w:rPr>
        <w:t xml:space="preserve"> Tree alcanzó el mayor F1 macro en el conjunto </w:t>
      </w:r>
      <w:proofErr w:type="spellStart"/>
      <w:r w:rsidRPr="007809FB">
        <w:rPr>
          <w:lang w:val="es-MX"/>
        </w:rPr>
        <w:t>held-out</w:t>
      </w:r>
      <w:proofErr w:type="spellEnd"/>
      <w:r w:rsidRPr="007809FB">
        <w:rPr>
          <w:lang w:val="es-MX"/>
        </w:rPr>
        <w:t xml:space="preserve"> (0.855), superando al Random Forest (0.810), </w:t>
      </w:r>
      <w:proofErr w:type="spellStart"/>
      <w:r w:rsidRPr="007809FB">
        <w:rPr>
          <w:lang w:val="es-MX"/>
        </w:rPr>
        <w:t>Gradient</w:t>
      </w:r>
      <w:proofErr w:type="spellEnd"/>
      <w:r w:rsidRPr="007809FB">
        <w:rPr>
          <w:lang w:val="es-MX"/>
        </w:rPr>
        <w:t xml:space="preserve"> </w:t>
      </w:r>
      <w:proofErr w:type="spellStart"/>
      <w:r w:rsidRPr="007809FB">
        <w:rPr>
          <w:lang w:val="es-MX"/>
        </w:rPr>
        <w:t>Boosting</w:t>
      </w:r>
      <w:proofErr w:type="spellEnd"/>
      <w:r w:rsidRPr="007809FB">
        <w:rPr>
          <w:lang w:val="es-MX"/>
        </w:rPr>
        <w:t xml:space="preserve"> (0.809) y a los </w:t>
      </w:r>
      <w:proofErr w:type="spellStart"/>
      <w:r w:rsidRPr="007809FB">
        <w:rPr>
          <w:lang w:val="es-MX"/>
        </w:rPr>
        <w:t>ensembles</w:t>
      </w:r>
      <w:proofErr w:type="spellEnd"/>
      <w:r w:rsidRPr="007809FB">
        <w:rPr>
          <w:lang w:val="es-MX"/>
        </w:rPr>
        <w:t xml:space="preserve"> heterogéneos (</w:t>
      </w:r>
      <w:proofErr w:type="spellStart"/>
      <w:r w:rsidRPr="007809FB">
        <w:rPr>
          <w:lang w:val="es-MX"/>
        </w:rPr>
        <w:t>Stacking</w:t>
      </w:r>
      <w:proofErr w:type="spellEnd"/>
      <w:r w:rsidRPr="007809FB">
        <w:rPr>
          <w:lang w:val="es-MX"/>
        </w:rPr>
        <w:t xml:space="preserve">: 0.760, </w:t>
      </w:r>
      <w:proofErr w:type="spellStart"/>
      <w:r w:rsidRPr="007809FB">
        <w:rPr>
          <w:lang w:val="es-MX"/>
        </w:rPr>
        <w:t>Voting</w:t>
      </w:r>
      <w:proofErr w:type="spellEnd"/>
      <w:r w:rsidRPr="007809FB">
        <w:rPr>
          <w:lang w:val="es-MX"/>
        </w:rPr>
        <w:t>: 0.710). La mejora respecto al Árbol de Decisión individual fue de +0.174 puntos F1 (+25.5%).</w:t>
      </w:r>
    </w:p>
    <w:p w14:paraId="2039BA74" w14:textId="77777777" w:rsidR="00814E32" w:rsidRPr="007809FB" w:rsidRDefault="00000000">
      <w:pPr>
        <w:spacing w:before="240"/>
        <w:rPr>
          <w:lang w:val="es-MX"/>
        </w:rPr>
      </w:pPr>
      <w:r w:rsidRPr="007809FB">
        <w:rPr>
          <w:b/>
          <w:sz w:val="20"/>
          <w:lang w:val="es-MX"/>
        </w:rPr>
        <w:t>Tabla 4. Rendimiento de modelos ensemble (</w:t>
      </w:r>
      <w:proofErr w:type="spellStart"/>
      <w:r w:rsidRPr="007809FB">
        <w:rPr>
          <w:b/>
          <w:sz w:val="20"/>
          <w:lang w:val="es-MX"/>
        </w:rPr>
        <w:t>X_intersect</w:t>
      </w:r>
      <w:proofErr w:type="spellEnd"/>
      <w:r w:rsidRPr="007809FB">
        <w:rPr>
          <w:b/>
          <w:sz w:val="20"/>
          <w:lang w:val="es-MX"/>
        </w:rPr>
        <w:t>, 16 variables).</w:t>
      </w:r>
    </w:p>
    <w:tbl>
      <w:tblPr>
        <w:tblStyle w:val="Cuadrculaclara-nfasis1"/>
        <w:tblW w:w="0" w:type="auto"/>
        <w:jc w:val="center"/>
        <w:tblLook w:val="04A0" w:firstRow="1" w:lastRow="0" w:firstColumn="1" w:lastColumn="0" w:noHBand="0" w:noVBand="1"/>
      </w:tblPr>
      <w:tblGrid>
        <w:gridCol w:w="2209"/>
        <w:gridCol w:w="2209"/>
        <w:gridCol w:w="2209"/>
        <w:gridCol w:w="2209"/>
      </w:tblGrid>
      <w:tr w:rsidR="00814E32" w14:paraId="023A54B8" w14:textId="77777777" w:rsidTr="00814E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61B2C67C" w14:textId="77777777" w:rsidR="00814E32" w:rsidRDefault="00000000">
            <w:r>
              <w:rPr>
                <w:sz w:val="20"/>
              </w:rPr>
              <w:t>Modelo</w:t>
            </w:r>
          </w:p>
        </w:tc>
        <w:tc>
          <w:tcPr>
            <w:tcW w:w="2209" w:type="dxa"/>
          </w:tcPr>
          <w:p w14:paraId="227574CA"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Tipo</w:t>
            </w:r>
          </w:p>
        </w:tc>
        <w:tc>
          <w:tcPr>
            <w:tcW w:w="2209" w:type="dxa"/>
          </w:tcPr>
          <w:p w14:paraId="0F0E38E3"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F1 CV</w:t>
            </w:r>
          </w:p>
        </w:tc>
        <w:tc>
          <w:tcPr>
            <w:tcW w:w="2209" w:type="dxa"/>
          </w:tcPr>
          <w:p w14:paraId="2FA9053A"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F1 Held-out</w:t>
            </w:r>
          </w:p>
        </w:tc>
      </w:tr>
      <w:tr w:rsidR="00814E32" w14:paraId="025AED00"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12D0D7BC" w14:textId="77777777" w:rsidR="00814E32" w:rsidRDefault="00000000">
            <w:r>
              <w:rPr>
                <w:sz w:val="20"/>
              </w:rPr>
              <w:t>Bagging Tree</w:t>
            </w:r>
          </w:p>
        </w:tc>
        <w:tc>
          <w:tcPr>
            <w:tcW w:w="2209" w:type="dxa"/>
          </w:tcPr>
          <w:p w14:paraId="70F10650"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Homogéneo</w:t>
            </w:r>
          </w:p>
        </w:tc>
        <w:tc>
          <w:tcPr>
            <w:tcW w:w="2209" w:type="dxa"/>
          </w:tcPr>
          <w:p w14:paraId="698C12B0"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0.802</w:t>
            </w:r>
          </w:p>
        </w:tc>
        <w:tc>
          <w:tcPr>
            <w:tcW w:w="2209" w:type="dxa"/>
          </w:tcPr>
          <w:p w14:paraId="3DB5CBDF"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0.855</w:t>
            </w:r>
          </w:p>
        </w:tc>
      </w:tr>
      <w:tr w:rsidR="00814E32" w14:paraId="45804DD6"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7542DB4F" w14:textId="77777777" w:rsidR="00814E32" w:rsidRDefault="00000000">
            <w:r>
              <w:rPr>
                <w:sz w:val="20"/>
              </w:rPr>
              <w:t>Random Forest</w:t>
            </w:r>
          </w:p>
        </w:tc>
        <w:tc>
          <w:tcPr>
            <w:tcW w:w="2209" w:type="dxa"/>
          </w:tcPr>
          <w:p w14:paraId="20E45C64"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Homogéneo</w:t>
            </w:r>
          </w:p>
        </w:tc>
        <w:tc>
          <w:tcPr>
            <w:tcW w:w="2209" w:type="dxa"/>
          </w:tcPr>
          <w:p w14:paraId="73B92817"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0.806</w:t>
            </w:r>
          </w:p>
        </w:tc>
        <w:tc>
          <w:tcPr>
            <w:tcW w:w="2209" w:type="dxa"/>
          </w:tcPr>
          <w:p w14:paraId="2143EA4D"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0.810</w:t>
            </w:r>
          </w:p>
        </w:tc>
      </w:tr>
      <w:tr w:rsidR="00814E32" w14:paraId="038B5483"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6636D79E" w14:textId="77777777" w:rsidR="00814E32" w:rsidRDefault="00000000">
            <w:r>
              <w:rPr>
                <w:sz w:val="20"/>
              </w:rPr>
              <w:t>Gradient Boosting</w:t>
            </w:r>
          </w:p>
        </w:tc>
        <w:tc>
          <w:tcPr>
            <w:tcW w:w="2209" w:type="dxa"/>
          </w:tcPr>
          <w:p w14:paraId="60FAB02C"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Homogéneo</w:t>
            </w:r>
          </w:p>
        </w:tc>
        <w:tc>
          <w:tcPr>
            <w:tcW w:w="2209" w:type="dxa"/>
          </w:tcPr>
          <w:p w14:paraId="0C4577C8"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0.820</w:t>
            </w:r>
          </w:p>
        </w:tc>
        <w:tc>
          <w:tcPr>
            <w:tcW w:w="2209" w:type="dxa"/>
          </w:tcPr>
          <w:p w14:paraId="6010E76E"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0.809</w:t>
            </w:r>
          </w:p>
        </w:tc>
      </w:tr>
      <w:tr w:rsidR="00814E32" w14:paraId="62423B2F"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1335C823" w14:textId="77777777" w:rsidR="00814E32" w:rsidRDefault="00000000">
            <w:r>
              <w:rPr>
                <w:sz w:val="20"/>
              </w:rPr>
              <w:t>AdaBoost</w:t>
            </w:r>
          </w:p>
        </w:tc>
        <w:tc>
          <w:tcPr>
            <w:tcW w:w="2209" w:type="dxa"/>
          </w:tcPr>
          <w:p w14:paraId="114B9014"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Homogéneo</w:t>
            </w:r>
          </w:p>
        </w:tc>
        <w:tc>
          <w:tcPr>
            <w:tcW w:w="2209" w:type="dxa"/>
          </w:tcPr>
          <w:p w14:paraId="1AE30CEF"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0.752</w:t>
            </w:r>
          </w:p>
        </w:tc>
        <w:tc>
          <w:tcPr>
            <w:tcW w:w="2209" w:type="dxa"/>
          </w:tcPr>
          <w:p w14:paraId="1373F31C"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0.809</w:t>
            </w:r>
          </w:p>
        </w:tc>
      </w:tr>
      <w:tr w:rsidR="00814E32" w14:paraId="49C1A646"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21E554E4" w14:textId="77777777" w:rsidR="00814E32" w:rsidRDefault="00000000">
            <w:r>
              <w:rPr>
                <w:sz w:val="20"/>
              </w:rPr>
              <w:t>Stacking</w:t>
            </w:r>
          </w:p>
        </w:tc>
        <w:tc>
          <w:tcPr>
            <w:tcW w:w="2209" w:type="dxa"/>
          </w:tcPr>
          <w:p w14:paraId="75F667FF"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Heterogéneo</w:t>
            </w:r>
          </w:p>
        </w:tc>
        <w:tc>
          <w:tcPr>
            <w:tcW w:w="2209" w:type="dxa"/>
          </w:tcPr>
          <w:p w14:paraId="0900922F"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0.682</w:t>
            </w:r>
          </w:p>
        </w:tc>
        <w:tc>
          <w:tcPr>
            <w:tcW w:w="2209" w:type="dxa"/>
          </w:tcPr>
          <w:p w14:paraId="75F4C1F4"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0.760</w:t>
            </w:r>
          </w:p>
        </w:tc>
      </w:tr>
      <w:tr w:rsidR="00814E32" w14:paraId="5F0DCF29"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2514B65B" w14:textId="77777777" w:rsidR="00814E32" w:rsidRDefault="00000000">
            <w:r>
              <w:rPr>
                <w:sz w:val="20"/>
              </w:rPr>
              <w:t>Extra Trees</w:t>
            </w:r>
          </w:p>
        </w:tc>
        <w:tc>
          <w:tcPr>
            <w:tcW w:w="2209" w:type="dxa"/>
          </w:tcPr>
          <w:p w14:paraId="26A47C41"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Homogéneo</w:t>
            </w:r>
          </w:p>
        </w:tc>
        <w:tc>
          <w:tcPr>
            <w:tcW w:w="2209" w:type="dxa"/>
          </w:tcPr>
          <w:p w14:paraId="0F3F9020"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0.738</w:t>
            </w:r>
          </w:p>
        </w:tc>
        <w:tc>
          <w:tcPr>
            <w:tcW w:w="2209" w:type="dxa"/>
          </w:tcPr>
          <w:p w14:paraId="1488CC2E"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0.710</w:t>
            </w:r>
          </w:p>
        </w:tc>
      </w:tr>
      <w:tr w:rsidR="00814E32" w14:paraId="65CD1BC2"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2FD1388E" w14:textId="77777777" w:rsidR="00814E32" w:rsidRDefault="00000000">
            <w:r>
              <w:rPr>
                <w:sz w:val="20"/>
              </w:rPr>
              <w:t>Voting Soft</w:t>
            </w:r>
          </w:p>
        </w:tc>
        <w:tc>
          <w:tcPr>
            <w:tcW w:w="2209" w:type="dxa"/>
          </w:tcPr>
          <w:p w14:paraId="08735F34"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Heterogéneo</w:t>
            </w:r>
          </w:p>
        </w:tc>
        <w:tc>
          <w:tcPr>
            <w:tcW w:w="2209" w:type="dxa"/>
          </w:tcPr>
          <w:p w14:paraId="4D180988"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0.633</w:t>
            </w:r>
          </w:p>
        </w:tc>
        <w:tc>
          <w:tcPr>
            <w:tcW w:w="2209" w:type="dxa"/>
          </w:tcPr>
          <w:p w14:paraId="2E3296BA"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0.710</w:t>
            </w:r>
          </w:p>
        </w:tc>
      </w:tr>
      <w:tr w:rsidR="00814E32" w14:paraId="4800ECE2"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08AED88B" w14:textId="77777777" w:rsidR="00814E32" w:rsidRDefault="00000000">
            <w:r>
              <w:rPr>
                <w:sz w:val="20"/>
              </w:rPr>
              <w:t>Árbol de Decisión (ref.)</w:t>
            </w:r>
          </w:p>
        </w:tc>
        <w:tc>
          <w:tcPr>
            <w:tcW w:w="2209" w:type="dxa"/>
          </w:tcPr>
          <w:p w14:paraId="36B5F1A9"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Individual</w:t>
            </w:r>
          </w:p>
        </w:tc>
        <w:tc>
          <w:tcPr>
            <w:tcW w:w="2209" w:type="dxa"/>
          </w:tcPr>
          <w:p w14:paraId="7D04BDD4"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0.696</w:t>
            </w:r>
          </w:p>
        </w:tc>
        <w:tc>
          <w:tcPr>
            <w:tcW w:w="2209" w:type="dxa"/>
          </w:tcPr>
          <w:p w14:paraId="39F35B43"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0.639</w:t>
            </w:r>
          </w:p>
        </w:tc>
      </w:tr>
    </w:tbl>
    <w:p w14:paraId="668C883E" w14:textId="77777777" w:rsidR="00814E32" w:rsidRDefault="00814E32"/>
    <w:p w14:paraId="3853B32D" w14:textId="77777777" w:rsidR="00814E32" w:rsidRDefault="00000000">
      <w:pPr>
        <w:spacing w:before="240" w:after="80"/>
      </w:pPr>
      <w:r>
        <w:rPr>
          <w:b/>
        </w:rPr>
        <w:t>4.3 Modelo final: Bagging Tree</w:t>
      </w:r>
    </w:p>
    <w:p w14:paraId="493A4D65" w14:textId="77777777" w:rsidR="007809FB" w:rsidRDefault="00000000" w:rsidP="007809FB">
      <w:pPr>
        <w:ind w:firstLine="720"/>
        <w:jc w:val="both"/>
        <w:rPr>
          <w:lang w:val="es-MX"/>
        </w:rPr>
      </w:pPr>
      <w:r w:rsidRPr="007809FB">
        <w:rPr>
          <w:lang w:val="es-MX"/>
        </w:rPr>
        <w:lastRenderedPageBreak/>
        <w:t xml:space="preserve">El modelo </w:t>
      </w:r>
      <w:proofErr w:type="spellStart"/>
      <w:r w:rsidRPr="007809FB">
        <w:rPr>
          <w:lang w:val="es-MX"/>
        </w:rPr>
        <w:t>Bagging</w:t>
      </w:r>
      <w:proofErr w:type="spellEnd"/>
      <w:r w:rsidRPr="007809FB">
        <w:rPr>
          <w:lang w:val="es-MX"/>
        </w:rPr>
        <w:t xml:space="preserve"> Tree se configuró con los </w:t>
      </w:r>
      <w:proofErr w:type="spellStart"/>
      <w:r w:rsidRPr="007809FB">
        <w:rPr>
          <w:lang w:val="es-MX"/>
        </w:rPr>
        <w:t>hiperparámetros</w:t>
      </w:r>
      <w:proofErr w:type="spellEnd"/>
      <w:r w:rsidRPr="007809FB">
        <w:rPr>
          <w:lang w:val="es-MX"/>
        </w:rPr>
        <w:t xml:space="preserve"> óptimos identificados mediante </w:t>
      </w:r>
      <w:proofErr w:type="spellStart"/>
      <w:r w:rsidRPr="007809FB">
        <w:rPr>
          <w:lang w:val="es-MX"/>
        </w:rPr>
        <w:t>GridSearchCV</w:t>
      </w:r>
      <w:proofErr w:type="spellEnd"/>
      <w:r w:rsidRPr="007809FB">
        <w:rPr>
          <w:lang w:val="es-MX"/>
        </w:rPr>
        <w:t xml:space="preserve"> (108 combinaciones): </w:t>
      </w:r>
      <w:proofErr w:type="spellStart"/>
      <w:r w:rsidRPr="007809FB">
        <w:rPr>
          <w:lang w:val="es-MX"/>
        </w:rPr>
        <w:t>n_estimators</w:t>
      </w:r>
      <w:proofErr w:type="spellEnd"/>
      <w:r w:rsidRPr="007809FB">
        <w:rPr>
          <w:lang w:val="es-MX"/>
        </w:rPr>
        <w:t xml:space="preserve">=100, </w:t>
      </w:r>
      <w:proofErr w:type="spellStart"/>
      <w:r w:rsidRPr="007809FB">
        <w:rPr>
          <w:lang w:val="es-MX"/>
        </w:rPr>
        <w:t>max_samples</w:t>
      </w:r>
      <w:proofErr w:type="spellEnd"/>
      <w:r w:rsidRPr="007809FB">
        <w:rPr>
          <w:lang w:val="es-MX"/>
        </w:rPr>
        <w:t xml:space="preserve">=0.8, </w:t>
      </w:r>
      <w:proofErr w:type="spellStart"/>
      <w:r w:rsidRPr="007809FB">
        <w:rPr>
          <w:lang w:val="es-MX"/>
        </w:rPr>
        <w:t>max_features</w:t>
      </w:r>
      <w:proofErr w:type="spellEnd"/>
      <w:r w:rsidRPr="007809FB">
        <w:rPr>
          <w:lang w:val="es-MX"/>
        </w:rPr>
        <w:t xml:space="preserve">=0.6, con árboles base sin restricción de profundidad y </w:t>
      </w:r>
      <w:proofErr w:type="spellStart"/>
      <w:r w:rsidRPr="007809FB">
        <w:rPr>
          <w:lang w:val="es-MX"/>
        </w:rPr>
        <w:t>class_weight</w:t>
      </w:r>
      <w:proofErr w:type="spellEnd"/>
      <w:r w:rsidRPr="007809FB">
        <w:rPr>
          <w:lang w:val="es-MX"/>
        </w:rPr>
        <w:t>='</w:t>
      </w:r>
      <w:proofErr w:type="spellStart"/>
      <w:r w:rsidRPr="007809FB">
        <w:rPr>
          <w:lang w:val="es-MX"/>
        </w:rPr>
        <w:t>balanced</w:t>
      </w:r>
      <w:proofErr w:type="spellEnd"/>
      <w:r w:rsidRPr="007809FB">
        <w:rPr>
          <w:lang w:val="es-MX"/>
        </w:rPr>
        <w:t xml:space="preserve">'. La Tabla 5 presenta el rendimiento detallado por clase en el conjunto </w:t>
      </w:r>
      <w:proofErr w:type="spellStart"/>
      <w:r w:rsidRPr="007809FB">
        <w:rPr>
          <w:lang w:val="es-MX"/>
        </w:rPr>
        <w:t>held-out</w:t>
      </w:r>
      <w:proofErr w:type="spellEnd"/>
      <w:r w:rsidRPr="007809FB">
        <w:rPr>
          <w:lang w:val="es-MX"/>
        </w:rPr>
        <w:t>.</w:t>
      </w:r>
    </w:p>
    <w:p w14:paraId="6AEBAE41" w14:textId="5CB7F528" w:rsidR="00814E32" w:rsidRPr="007809FB" w:rsidRDefault="00000000" w:rsidP="007809FB">
      <w:pPr>
        <w:ind w:firstLine="720"/>
        <w:jc w:val="both"/>
        <w:rPr>
          <w:lang w:val="es-MX"/>
        </w:rPr>
      </w:pPr>
      <w:r w:rsidRPr="007809FB">
        <w:rPr>
          <w:b/>
          <w:sz w:val="20"/>
          <w:lang w:val="es-MX"/>
        </w:rPr>
        <w:t xml:space="preserve">Tabla 5. Rendimiento del </w:t>
      </w:r>
      <w:proofErr w:type="spellStart"/>
      <w:r w:rsidRPr="007809FB">
        <w:rPr>
          <w:b/>
          <w:sz w:val="20"/>
          <w:lang w:val="es-MX"/>
        </w:rPr>
        <w:t>Bagging</w:t>
      </w:r>
      <w:proofErr w:type="spellEnd"/>
      <w:r w:rsidRPr="007809FB">
        <w:rPr>
          <w:b/>
          <w:sz w:val="20"/>
          <w:lang w:val="es-MX"/>
        </w:rPr>
        <w:t xml:space="preserve"> Tree por clase (conjunto </w:t>
      </w:r>
      <w:proofErr w:type="spellStart"/>
      <w:r w:rsidRPr="007809FB">
        <w:rPr>
          <w:b/>
          <w:sz w:val="20"/>
          <w:lang w:val="es-MX"/>
        </w:rPr>
        <w:t>held-out</w:t>
      </w:r>
      <w:proofErr w:type="spellEnd"/>
      <w:r w:rsidRPr="007809FB">
        <w:rPr>
          <w:b/>
          <w:sz w:val="20"/>
          <w:lang w:val="es-MX"/>
        </w:rPr>
        <w:t>, n=43).</w:t>
      </w:r>
    </w:p>
    <w:tbl>
      <w:tblPr>
        <w:tblStyle w:val="Cuadrculaclara-nfasis1"/>
        <w:tblW w:w="0" w:type="auto"/>
        <w:jc w:val="center"/>
        <w:tblLook w:val="04A0" w:firstRow="1" w:lastRow="0" w:firstColumn="1" w:lastColumn="0" w:noHBand="0" w:noVBand="1"/>
      </w:tblPr>
      <w:tblGrid>
        <w:gridCol w:w="1768"/>
        <w:gridCol w:w="1768"/>
        <w:gridCol w:w="1768"/>
        <w:gridCol w:w="1768"/>
        <w:gridCol w:w="1768"/>
      </w:tblGrid>
      <w:tr w:rsidR="00814E32" w14:paraId="06A5E8AB" w14:textId="77777777" w:rsidTr="00814E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6E88EA86" w14:textId="77777777" w:rsidR="00814E32" w:rsidRDefault="00000000">
            <w:r>
              <w:rPr>
                <w:sz w:val="20"/>
              </w:rPr>
              <w:t>Clase</w:t>
            </w:r>
          </w:p>
        </w:tc>
        <w:tc>
          <w:tcPr>
            <w:tcW w:w="1768" w:type="dxa"/>
          </w:tcPr>
          <w:p w14:paraId="1599FAB6"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Precisión</w:t>
            </w:r>
          </w:p>
        </w:tc>
        <w:tc>
          <w:tcPr>
            <w:tcW w:w="1768" w:type="dxa"/>
          </w:tcPr>
          <w:p w14:paraId="4F33DE79"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Recall</w:t>
            </w:r>
          </w:p>
        </w:tc>
        <w:tc>
          <w:tcPr>
            <w:tcW w:w="1768" w:type="dxa"/>
          </w:tcPr>
          <w:p w14:paraId="13EAB74E"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F1-Score</w:t>
            </w:r>
          </w:p>
        </w:tc>
        <w:tc>
          <w:tcPr>
            <w:tcW w:w="1768" w:type="dxa"/>
          </w:tcPr>
          <w:p w14:paraId="2E86DBAB"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Soporte (n)</w:t>
            </w:r>
          </w:p>
        </w:tc>
      </w:tr>
      <w:tr w:rsidR="00814E32" w14:paraId="1F76AF97"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25DBAEC8" w14:textId="77777777" w:rsidR="00814E32" w:rsidRDefault="00000000">
            <w:r>
              <w:rPr>
                <w:sz w:val="20"/>
              </w:rPr>
              <w:t>AA (Adenoma Avanzado)</w:t>
            </w:r>
          </w:p>
        </w:tc>
        <w:tc>
          <w:tcPr>
            <w:tcW w:w="1768" w:type="dxa"/>
          </w:tcPr>
          <w:p w14:paraId="77CCED25"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0.82</w:t>
            </w:r>
          </w:p>
        </w:tc>
        <w:tc>
          <w:tcPr>
            <w:tcW w:w="1768" w:type="dxa"/>
          </w:tcPr>
          <w:p w14:paraId="0BB29104"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0.75</w:t>
            </w:r>
          </w:p>
        </w:tc>
        <w:tc>
          <w:tcPr>
            <w:tcW w:w="1768" w:type="dxa"/>
          </w:tcPr>
          <w:p w14:paraId="5C720192"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0.78</w:t>
            </w:r>
          </w:p>
        </w:tc>
        <w:tc>
          <w:tcPr>
            <w:tcW w:w="1768" w:type="dxa"/>
          </w:tcPr>
          <w:p w14:paraId="1CB323F2"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12</w:t>
            </w:r>
          </w:p>
        </w:tc>
      </w:tr>
      <w:tr w:rsidR="00814E32" w14:paraId="275B527C"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273B01EF" w14:textId="77777777" w:rsidR="00814E32" w:rsidRDefault="00000000">
            <w:r>
              <w:rPr>
                <w:sz w:val="20"/>
              </w:rPr>
              <w:t>CCR (Cáncer Colorrectal)</w:t>
            </w:r>
          </w:p>
        </w:tc>
        <w:tc>
          <w:tcPr>
            <w:tcW w:w="1768" w:type="dxa"/>
          </w:tcPr>
          <w:p w14:paraId="1DC5EBA4"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0.78</w:t>
            </w:r>
          </w:p>
        </w:tc>
        <w:tc>
          <w:tcPr>
            <w:tcW w:w="1768" w:type="dxa"/>
          </w:tcPr>
          <w:p w14:paraId="4CEDC6CC"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0.93</w:t>
            </w:r>
          </w:p>
        </w:tc>
        <w:tc>
          <w:tcPr>
            <w:tcW w:w="1768" w:type="dxa"/>
          </w:tcPr>
          <w:p w14:paraId="58F0603E"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0.85</w:t>
            </w:r>
          </w:p>
        </w:tc>
        <w:tc>
          <w:tcPr>
            <w:tcW w:w="1768" w:type="dxa"/>
          </w:tcPr>
          <w:p w14:paraId="18A90617"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15</w:t>
            </w:r>
          </w:p>
        </w:tc>
      </w:tr>
      <w:tr w:rsidR="00814E32" w14:paraId="5D5B1578"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75782660" w14:textId="77777777" w:rsidR="00814E32" w:rsidRDefault="00000000">
            <w:r>
              <w:rPr>
                <w:sz w:val="20"/>
              </w:rPr>
              <w:t>CTRL (Control Sano)</w:t>
            </w:r>
          </w:p>
        </w:tc>
        <w:tc>
          <w:tcPr>
            <w:tcW w:w="1768" w:type="dxa"/>
          </w:tcPr>
          <w:p w14:paraId="1D652E15"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1768" w:type="dxa"/>
          </w:tcPr>
          <w:p w14:paraId="4DA5A32F"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0.88</w:t>
            </w:r>
          </w:p>
        </w:tc>
        <w:tc>
          <w:tcPr>
            <w:tcW w:w="1768" w:type="dxa"/>
          </w:tcPr>
          <w:p w14:paraId="66722DD2"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0.93</w:t>
            </w:r>
          </w:p>
        </w:tc>
        <w:tc>
          <w:tcPr>
            <w:tcW w:w="1768" w:type="dxa"/>
          </w:tcPr>
          <w:p w14:paraId="4554B2C5"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16</w:t>
            </w:r>
          </w:p>
        </w:tc>
      </w:tr>
      <w:tr w:rsidR="00814E32" w14:paraId="6C704C44"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0A5377A3" w14:textId="77777777" w:rsidR="00814E32" w:rsidRDefault="00000000">
            <w:r>
              <w:rPr>
                <w:sz w:val="20"/>
              </w:rPr>
              <w:t>Promedio Macro</w:t>
            </w:r>
          </w:p>
        </w:tc>
        <w:tc>
          <w:tcPr>
            <w:tcW w:w="1768" w:type="dxa"/>
          </w:tcPr>
          <w:p w14:paraId="3F214FED"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0.87</w:t>
            </w:r>
          </w:p>
        </w:tc>
        <w:tc>
          <w:tcPr>
            <w:tcW w:w="1768" w:type="dxa"/>
          </w:tcPr>
          <w:p w14:paraId="7C041B46"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0.85</w:t>
            </w:r>
          </w:p>
        </w:tc>
        <w:tc>
          <w:tcPr>
            <w:tcW w:w="1768" w:type="dxa"/>
          </w:tcPr>
          <w:p w14:paraId="44974703"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0.855</w:t>
            </w:r>
          </w:p>
        </w:tc>
        <w:tc>
          <w:tcPr>
            <w:tcW w:w="1768" w:type="dxa"/>
          </w:tcPr>
          <w:p w14:paraId="7A8C1E38"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43</w:t>
            </w:r>
          </w:p>
        </w:tc>
      </w:tr>
    </w:tbl>
    <w:p w14:paraId="2B2ACBB5" w14:textId="77777777" w:rsidR="00814E32" w:rsidRDefault="00814E32"/>
    <w:p w14:paraId="505F2969" w14:textId="77777777" w:rsidR="007809FB" w:rsidRDefault="00000000" w:rsidP="007809FB">
      <w:pPr>
        <w:ind w:firstLine="720"/>
        <w:jc w:val="both"/>
        <w:rPr>
          <w:lang w:val="es-MX"/>
        </w:rPr>
      </w:pPr>
      <w:r w:rsidRPr="007809FB">
        <w:rPr>
          <w:lang w:val="es-MX"/>
        </w:rPr>
        <w:t>El AUC-ROC macro fue de 0.945 (AA: 0.902, CCR: 0.949, CTRL: 0.984). La matriz de confusión (Tabla 6) revela que ninguna muestra de AA fue clasificada erróneamente como CTRL, lo cual tiene relevancia clínica directa: el modelo no genera falsos negativos completos en la dirección más peligrosa (clasificar una lesión precancerosa como sana).</w:t>
      </w:r>
    </w:p>
    <w:p w14:paraId="586AF8A6" w14:textId="262E116C" w:rsidR="00814E32" w:rsidRPr="007809FB" w:rsidRDefault="00000000" w:rsidP="007809FB">
      <w:pPr>
        <w:ind w:firstLine="720"/>
        <w:jc w:val="both"/>
        <w:rPr>
          <w:lang w:val="es-MX"/>
        </w:rPr>
      </w:pPr>
      <w:r w:rsidRPr="007809FB">
        <w:rPr>
          <w:b/>
          <w:sz w:val="20"/>
          <w:lang w:val="es-MX"/>
        </w:rPr>
        <w:t xml:space="preserve">Tabla 6. Matriz de confusión del </w:t>
      </w:r>
      <w:proofErr w:type="spellStart"/>
      <w:r w:rsidRPr="007809FB">
        <w:rPr>
          <w:b/>
          <w:sz w:val="20"/>
          <w:lang w:val="es-MX"/>
        </w:rPr>
        <w:t>Bagging</w:t>
      </w:r>
      <w:proofErr w:type="spellEnd"/>
      <w:r w:rsidRPr="007809FB">
        <w:rPr>
          <w:b/>
          <w:sz w:val="20"/>
          <w:lang w:val="es-MX"/>
        </w:rPr>
        <w:t xml:space="preserve"> Tree (conjunto </w:t>
      </w:r>
      <w:proofErr w:type="spellStart"/>
      <w:r w:rsidRPr="007809FB">
        <w:rPr>
          <w:b/>
          <w:sz w:val="20"/>
          <w:lang w:val="es-MX"/>
        </w:rPr>
        <w:t>held-out</w:t>
      </w:r>
      <w:proofErr w:type="spellEnd"/>
      <w:r w:rsidRPr="007809FB">
        <w:rPr>
          <w:b/>
          <w:sz w:val="20"/>
          <w:lang w:val="es-MX"/>
        </w:rPr>
        <w:t>).</w:t>
      </w:r>
    </w:p>
    <w:tbl>
      <w:tblPr>
        <w:tblStyle w:val="Cuadrculaclara-nfasis1"/>
        <w:tblW w:w="0" w:type="auto"/>
        <w:jc w:val="center"/>
        <w:tblLook w:val="04A0" w:firstRow="1" w:lastRow="0" w:firstColumn="1" w:lastColumn="0" w:noHBand="0" w:noVBand="1"/>
      </w:tblPr>
      <w:tblGrid>
        <w:gridCol w:w="2209"/>
        <w:gridCol w:w="2209"/>
        <w:gridCol w:w="2209"/>
        <w:gridCol w:w="2209"/>
      </w:tblGrid>
      <w:tr w:rsidR="00814E32" w14:paraId="7FC8915B" w14:textId="77777777" w:rsidTr="00814E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1AD1E2C8" w14:textId="77777777" w:rsidR="00814E32" w:rsidRPr="007809FB" w:rsidRDefault="00814E32">
            <w:pPr>
              <w:rPr>
                <w:lang w:val="es-MX"/>
              </w:rPr>
            </w:pPr>
          </w:p>
        </w:tc>
        <w:tc>
          <w:tcPr>
            <w:tcW w:w="2209" w:type="dxa"/>
          </w:tcPr>
          <w:p w14:paraId="00F5CA68" w14:textId="77777777" w:rsidR="00814E32" w:rsidRDefault="00000000">
            <w:pPr>
              <w:cnfStyle w:val="100000000000" w:firstRow="1" w:lastRow="0" w:firstColumn="0" w:lastColumn="0" w:oddVBand="0" w:evenVBand="0" w:oddHBand="0" w:evenHBand="0" w:firstRowFirstColumn="0" w:firstRowLastColumn="0" w:lastRowFirstColumn="0" w:lastRowLastColumn="0"/>
            </w:pPr>
            <w:proofErr w:type="spellStart"/>
            <w:r>
              <w:rPr>
                <w:sz w:val="20"/>
              </w:rPr>
              <w:t>Predicho</w:t>
            </w:r>
            <w:proofErr w:type="spellEnd"/>
            <w:r>
              <w:rPr>
                <w:sz w:val="20"/>
              </w:rPr>
              <w:t>: AA</w:t>
            </w:r>
          </w:p>
        </w:tc>
        <w:tc>
          <w:tcPr>
            <w:tcW w:w="2209" w:type="dxa"/>
          </w:tcPr>
          <w:p w14:paraId="7062B0A6"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Predicho: CCR</w:t>
            </w:r>
          </w:p>
        </w:tc>
        <w:tc>
          <w:tcPr>
            <w:tcW w:w="2209" w:type="dxa"/>
          </w:tcPr>
          <w:p w14:paraId="151FCB57"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Predicho: CTRL</w:t>
            </w:r>
          </w:p>
        </w:tc>
      </w:tr>
      <w:tr w:rsidR="00814E32" w14:paraId="686725BE"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4C7D5E92" w14:textId="77777777" w:rsidR="00814E32" w:rsidRDefault="00000000">
            <w:r>
              <w:rPr>
                <w:sz w:val="20"/>
              </w:rPr>
              <w:t>Real: AA</w:t>
            </w:r>
          </w:p>
        </w:tc>
        <w:tc>
          <w:tcPr>
            <w:tcW w:w="2209" w:type="dxa"/>
          </w:tcPr>
          <w:p w14:paraId="00A1F377"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9</w:t>
            </w:r>
          </w:p>
        </w:tc>
        <w:tc>
          <w:tcPr>
            <w:tcW w:w="2209" w:type="dxa"/>
          </w:tcPr>
          <w:p w14:paraId="6005C956"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2209" w:type="dxa"/>
          </w:tcPr>
          <w:p w14:paraId="5909CF6B"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r>
      <w:tr w:rsidR="00814E32" w14:paraId="35ECA47A"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581FDD1D" w14:textId="77777777" w:rsidR="00814E32" w:rsidRDefault="00000000">
            <w:r>
              <w:rPr>
                <w:sz w:val="20"/>
              </w:rPr>
              <w:t>Real: CCR</w:t>
            </w:r>
          </w:p>
        </w:tc>
        <w:tc>
          <w:tcPr>
            <w:tcW w:w="2209" w:type="dxa"/>
          </w:tcPr>
          <w:p w14:paraId="59727B5F"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2209" w:type="dxa"/>
          </w:tcPr>
          <w:p w14:paraId="17F3E38D"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14</w:t>
            </w:r>
          </w:p>
        </w:tc>
        <w:tc>
          <w:tcPr>
            <w:tcW w:w="2209" w:type="dxa"/>
          </w:tcPr>
          <w:p w14:paraId="026D4B41"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r>
      <w:tr w:rsidR="00814E32" w14:paraId="40078A0D"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526EA813" w14:textId="77777777" w:rsidR="00814E32" w:rsidRDefault="00000000">
            <w:r>
              <w:rPr>
                <w:sz w:val="20"/>
              </w:rPr>
              <w:t>Real: CTRL</w:t>
            </w:r>
          </w:p>
        </w:tc>
        <w:tc>
          <w:tcPr>
            <w:tcW w:w="2209" w:type="dxa"/>
          </w:tcPr>
          <w:p w14:paraId="7A32C3E1"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2209" w:type="dxa"/>
          </w:tcPr>
          <w:p w14:paraId="08918CEC"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2209" w:type="dxa"/>
          </w:tcPr>
          <w:p w14:paraId="52D7E8B7"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14</w:t>
            </w:r>
          </w:p>
        </w:tc>
      </w:tr>
    </w:tbl>
    <w:p w14:paraId="6B56417D" w14:textId="77777777" w:rsidR="00814E32" w:rsidRDefault="00000000">
      <w:pPr>
        <w:spacing w:before="240" w:after="80"/>
      </w:pPr>
      <w:r>
        <w:rPr>
          <w:b/>
        </w:rPr>
        <w:lastRenderedPageBreak/>
        <w:t xml:space="preserve">4.4 </w:t>
      </w:r>
      <w:proofErr w:type="spellStart"/>
      <w:r>
        <w:rPr>
          <w:b/>
        </w:rPr>
        <w:t>Análisis</w:t>
      </w:r>
      <w:proofErr w:type="spellEnd"/>
      <w:r>
        <w:rPr>
          <w:b/>
        </w:rPr>
        <w:t xml:space="preserve"> de </w:t>
      </w:r>
      <w:proofErr w:type="spellStart"/>
      <w:r>
        <w:rPr>
          <w:b/>
        </w:rPr>
        <w:t>explicabilidad</w:t>
      </w:r>
      <w:proofErr w:type="spellEnd"/>
      <w:r>
        <w:rPr>
          <w:b/>
        </w:rPr>
        <w:t xml:space="preserve"> SHAP</w:t>
      </w:r>
    </w:p>
    <w:p w14:paraId="671B37A4" w14:textId="77777777" w:rsidR="00814E32" w:rsidRDefault="00000000">
      <w:pPr>
        <w:spacing w:before="160" w:after="80"/>
      </w:pPr>
      <w:r>
        <w:rPr>
          <w:b/>
          <w:i/>
        </w:rPr>
        <w:t>4.4.1 Importancia global SHAP</w:t>
      </w:r>
    </w:p>
    <w:p w14:paraId="1A3289B0" w14:textId="77777777" w:rsidR="00814E32" w:rsidRDefault="00000000">
      <w:pPr>
        <w:ind w:firstLine="720"/>
        <w:jc w:val="both"/>
      </w:pPr>
      <w:r w:rsidRPr="007809FB">
        <w:rPr>
          <w:lang w:val="es-MX"/>
        </w:rPr>
        <w:t xml:space="preserve">La Figura 1 presenta el ranking de importancia global SHAP, calculado como la media de los valores absolutos de SHAP promediada sobre las tres clases. </w:t>
      </w:r>
      <w:proofErr w:type="gramStart"/>
      <w:r w:rsidRPr="007809FB">
        <w:rPr>
          <w:lang w:val="es-MX"/>
        </w:rPr>
        <w:t>CE(</w:t>
      </w:r>
      <w:proofErr w:type="gramEnd"/>
      <w:r w:rsidRPr="007809FB">
        <w:rPr>
          <w:lang w:val="es-MX"/>
        </w:rPr>
        <w:t xml:space="preserve">20:5) se confirma como el biomarcador con mayor contribución global (media |SHAP| = 0.070), seguido de FIT (0.059), </w:t>
      </w:r>
      <w:proofErr w:type="gramStart"/>
      <w:r w:rsidRPr="007809FB">
        <w:rPr>
          <w:lang w:val="es-MX"/>
        </w:rPr>
        <w:t>TG(</w:t>
      </w:r>
      <w:proofErr w:type="gramEnd"/>
      <w:r w:rsidRPr="007809FB">
        <w:rPr>
          <w:lang w:val="es-MX"/>
        </w:rPr>
        <w:t xml:space="preserve">51:4) (0.057) y PC(O-16:0/16:0) (0.051). Las variables clínicas género y FOB presentaron contribuciones mínimas (0.002 y 0.009, respectivamente), confirmando que la señal discriminativa proviene predominantemente de los biomarcadores lipidómicos. </w:t>
      </w:r>
      <w:r>
        <w:t xml:space="preserve">La </w:t>
      </w:r>
      <w:proofErr w:type="spellStart"/>
      <w:r>
        <w:t>Tabla</w:t>
      </w:r>
      <w:proofErr w:type="spellEnd"/>
      <w:r>
        <w:t xml:space="preserve"> 7 </w:t>
      </w:r>
      <w:proofErr w:type="spellStart"/>
      <w:r>
        <w:t>presenta</w:t>
      </w:r>
      <w:proofErr w:type="spellEnd"/>
      <w:r>
        <w:t xml:space="preserve"> el ranking completo.</w:t>
      </w:r>
    </w:p>
    <w:p w14:paraId="1FD8E920" w14:textId="77777777" w:rsidR="00814E32" w:rsidRDefault="00000000">
      <w:pPr>
        <w:jc w:val="center"/>
      </w:pPr>
      <w:r>
        <w:rPr>
          <w:noProof/>
        </w:rPr>
        <w:drawing>
          <wp:inline distT="0" distB="0" distL="0" distR="0" wp14:anchorId="23463374" wp14:editId="57309B7E">
            <wp:extent cx="4572000" cy="31819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global_importance.png"/>
                    <pic:cNvPicPr/>
                  </pic:nvPicPr>
                  <pic:blipFill>
                    <a:blip r:embed="rId6"/>
                    <a:stretch>
                      <a:fillRect/>
                    </a:stretch>
                  </pic:blipFill>
                  <pic:spPr>
                    <a:xfrm>
                      <a:off x="0" y="0"/>
                      <a:ext cx="4572000" cy="3181927"/>
                    </a:xfrm>
                    <a:prstGeom prst="rect">
                      <a:avLst/>
                    </a:prstGeom>
                  </pic:spPr>
                </pic:pic>
              </a:graphicData>
            </a:graphic>
          </wp:inline>
        </w:drawing>
      </w:r>
    </w:p>
    <w:p w14:paraId="5F742F57" w14:textId="77777777" w:rsidR="00814E32" w:rsidRPr="007809FB" w:rsidRDefault="00000000">
      <w:pPr>
        <w:spacing w:after="240"/>
        <w:jc w:val="center"/>
        <w:rPr>
          <w:lang w:val="es-MX"/>
        </w:rPr>
      </w:pPr>
      <w:r w:rsidRPr="007809FB">
        <w:rPr>
          <w:b/>
          <w:sz w:val="20"/>
          <w:lang w:val="es-MX"/>
        </w:rPr>
        <w:t xml:space="preserve">Figura 1. Importancia global SHAP del </w:t>
      </w:r>
      <w:proofErr w:type="spellStart"/>
      <w:r w:rsidRPr="007809FB">
        <w:rPr>
          <w:b/>
          <w:sz w:val="20"/>
          <w:lang w:val="es-MX"/>
        </w:rPr>
        <w:t>Bagging</w:t>
      </w:r>
      <w:proofErr w:type="spellEnd"/>
      <w:r w:rsidRPr="007809FB">
        <w:rPr>
          <w:b/>
          <w:sz w:val="20"/>
          <w:lang w:val="es-MX"/>
        </w:rPr>
        <w:t xml:space="preserve"> Tree (media |SHAP| promediada sobre las tres clases).</w:t>
      </w:r>
    </w:p>
    <w:p w14:paraId="0748F7B9" w14:textId="77777777" w:rsidR="00814E32" w:rsidRPr="007809FB" w:rsidRDefault="00000000">
      <w:pPr>
        <w:spacing w:before="240"/>
        <w:rPr>
          <w:lang w:val="es-MX"/>
        </w:rPr>
      </w:pPr>
      <w:r w:rsidRPr="007809FB">
        <w:rPr>
          <w:b/>
          <w:sz w:val="20"/>
          <w:lang w:val="es-MX"/>
        </w:rPr>
        <w:t>Tabla 7. Las 10 variables más importantes según SHAP (media |SHAP| global).</w:t>
      </w:r>
    </w:p>
    <w:tbl>
      <w:tblPr>
        <w:tblStyle w:val="Cuadrculaclara-nfasis1"/>
        <w:tblW w:w="0" w:type="auto"/>
        <w:jc w:val="center"/>
        <w:tblLook w:val="04A0" w:firstRow="1" w:lastRow="0" w:firstColumn="1" w:lastColumn="0" w:noHBand="0" w:noVBand="1"/>
      </w:tblPr>
      <w:tblGrid>
        <w:gridCol w:w="1990"/>
        <w:gridCol w:w="2907"/>
        <w:gridCol w:w="2026"/>
        <w:gridCol w:w="2131"/>
      </w:tblGrid>
      <w:tr w:rsidR="00814E32" w14:paraId="732A45F3" w14:textId="77777777" w:rsidTr="00814E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155422E4" w14:textId="77777777" w:rsidR="00814E32" w:rsidRDefault="00000000">
            <w:r>
              <w:rPr>
                <w:sz w:val="20"/>
              </w:rPr>
              <w:t>Pos.</w:t>
            </w:r>
          </w:p>
        </w:tc>
        <w:tc>
          <w:tcPr>
            <w:tcW w:w="2209" w:type="dxa"/>
          </w:tcPr>
          <w:p w14:paraId="57CB3E86"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Variable</w:t>
            </w:r>
          </w:p>
        </w:tc>
        <w:tc>
          <w:tcPr>
            <w:tcW w:w="2209" w:type="dxa"/>
          </w:tcPr>
          <w:p w14:paraId="2B2A6F46"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Media |SHAP|</w:t>
            </w:r>
          </w:p>
        </w:tc>
        <w:tc>
          <w:tcPr>
            <w:tcW w:w="2209" w:type="dxa"/>
          </w:tcPr>
          <w:p w14:paraId="15FBAD0B"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Tipo</w:t>
            </w:r>
          </w:p>
        </w:tc>
      </w:tr>
      <w:tr w:rsidR="00814E32" w14:paraId="0E35DED9"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37CA7C01" w14:textId="77777777" w:rsidR="00814E32" w:rsidRDefault="00000000">
            <w:r>
              <w:rPr>
                <w:sz w:val="20"/>
              </w:rPr>
              <w:t>1</w:t>
            </w:r>
          </w:p>
        </w:tc>
        <w:tc>
          <w:tcPr>
            <w:tcW w:w="2209" w:type="dxa"/>
          </w:tcPr>
          <w:p w14:paraId="6E040E99"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CE(20:5)</w:t>
            </w:r>
          </w:p>
        </w:tc>
        <w:tc>
          <w:tcPr>
            <w:tcW w:w="2209" w:type="dxa"/>
          </w:tcPr>
          <w:p w14:paraId="2CB0F46D"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0.070</w:t>
            </w:r>
          </w:p>
        </w:tc>
        <w:tc>
          <w:tcPr>
            <w:tcW w:w="2209" w:type="dxa"/>
          </w:tcPr>
          <w:p w14:paraId="1B9DC25B"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Éster de colesterol</w:t>
            </w:r>
          </w:p>
        </w:tc>
      </w:tr>
      <w:tr w:rsidR="00814E32" w14:paraId="14BC8B1F"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43B2F0BD" w14:textId="77777777" w:rsidR="00814E32" w:rsidRDefault="00000000">
            <w:r>
              <w:rPr>
                <w:sz w:val="20"/>
              </w:rPr>
              <w:lastRenderedPageBreak/>
              <w:t>2</w:t>
            </w:r>
          </w:p>
        </w:tc>
        <w:tc>
          <w:tcPr>
            <w:tcW w:w="2209" w:type="dxa"/>
          </w:tcPr>
          <w:p w14:paraId="42CA6E8F"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FIT (microg/g)</w:t>
            </w:r>
          </w:p>
        </w:tc>
        <w:tc>
          <w:tcPr>
            <w:tcW w:w="2209" w:type="dxa"/>
          </w:tcPr>
          <w:p w14:paraId="6B002D01"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0.059</w:t>
            </w:r>
          </w:p>
        </w:tc>
        <w:tc>
          <w:tcPr>
            <w:tcW w:w="2209" w:type="dxa"/>
          </w:tcPr>
          <w:p w14:paraId="00CB5D07"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Variable clínica</w:t>
            </w:r>
          </w:p>
        </w:tc>
      </w:tr>
      <w:tr w:rsidR="00814E32" w14:paraId="105DE324"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2031D2DF" w14:textId="77777777" w:rsidR="00814E32" w:rsidRDefault="00000000">
            <w:r>
              <w:rPr>
                <w:sz w:val="20"/>
              </w:rPr>
              <w:t>3</w:t>
            </w:r>
          </w:p>
        </w:tc>
        <w:tc>
          <w:tcPr>
            <w:tcW w:w="2209" w:type="dxa"/>
          </w:tcPr>
          <w:p w14:paraId="3273733E"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TG(51:4)</w:t>
            </w:r>
          </w:p>
        </w:tc>
        <w:tc>
          <w:tcPr>
            <w:tcW w:w="2209" w:type="dxa"/>
          </w:tcPr>
          <w:p w14:paraId="1218D287"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0.057</w:t>
            </w:r>
          </w:p>
        </w:tc>
        <w:tc>
          <w:tcPr>
            <w:tcW w:w="2209" w:type="dxa"/>
          </w:tcPr>
          <w:p w14:paraId="5D513B54"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Triacilglicerol</w:t>
            </w:r>
          </w:p>
        </w:tc>
      </w:tr>
      <w:tr w:rsidR="00814E32" w14:paraId="1246C13C"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7CDFA129" w14:textId="77777777" w:rsidR="00814E32" w:rsidRDefault="00000000">
            <w:r>
              <w:rPr>
                <w:sz w:val="20"/>
              </w:rPr>
              <w:t>4</w:t>
            </w:r>
          </w:p>
        </w:tc>
        <w:tc>
          <w:tcPr>
            <w:tcW w:w="2209" w:type="dxa"/>
          </w:tcPr>
          <w:p w14:paraId="2A368DDE"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PC(O-16:0/16:0)</w:t>
            </w:r>
          </w:p>
        </w:tc>
        <w:tc>
          <w:tcPr>
            <w:tcW w:w="2209" w:type="dxa"/>
          </w:tcPr>
          <w:p w14:paraId="09ED4DC0"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0.051</w:t>
            </w:r>
          </w:p>
        </w:tc>
        <w:tc>
          <w:tcPr>
            <w:tcW w:w="2209" w:type="dxa"/>
          </w:tcPr>
          <w:p w14:paraId="6FCC78E4"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Éter-fosfatidilcolina</w:t>
            </w:r>
          </w:p>
        </w:tc>
      </w:tr>
      <w:tr w:rsidR="00814E32" w14:paraId="1492F507"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3F6FDEC2" w14:textId="77777777" w:rsidR="00814E32" w:rsidRDefault="00000000">
            <w:r>
              <w:rPr>
                <w:sz w:val="20"/>
              </w:rPr>
              <w:t>5</w:t>
            </w:r>
          </w:p>
        </w:tc>
        <w:tc>
          <w:tcPr>
            <w:tcW w:w="2209" w:type="dxa"/>
          </w:tcPr>
          <w:p w14:paraId="41C188A6"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GlcCer(d18:1/24:0)</w:t>
            </w:r>
          </w:p>
        </w:tc>
        <w:tc>
          <w:tcPr>
            <w:tcW w:w="2209" w:type="dxa"/>
          </w:tcPr>
          <w:p w14:paraId="38A42FC8"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0.027</w:t>
            </w:r>
          </w:p>
        </w:tc>
        <w:tc>
          <w:tcPr>
            <w:tcW w:w="2209" w:type="dxa"/>
          </w:tcPr>
          <w:p w14:paraId="0DC9DF94"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Glucosilceramida</w:t>
            </w:r>
          </w:p>
        </w:tc>
      </w:tr>
      <w:tr w:rsidR="00814E32" w14:paraId="02955573"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64CED339" w14:textId="77777777" w:rsidR="00814E32" w:rsidRDefault="00000000">
            <w:r>
              <w:rPr>
                <w:sz w:val="20"/>
              </w:rPr>
              <w:t>6</w:t>
            </w:r>
          </w:p>
        </w:tc>
        <w:tc>
          <w:tcPr>
            <w:tcW w:w="2209" w:type="dxa"/>
          </w:tcPr>
          <w:p w14:paraId="6D8A2F0F"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PC(O-16:0/18:2)</w:t>
            </w:r>
          </w:p>
        </w:tc>
        <w:tc>
          <w:tcPr>
            <w:tcW w:w="2209" w:type="dxa"/>
          </w:tcPr>
          <w:p w14:paraId="693C4E3B"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0.026</w:t>
            </w:r>
          </w:p>
        </w:tc>
        <w:tc>
          <w:tcPr>
            <w:tcW w:w="2209" w:type="dxa"/>
          </w:tcPr>
          <w:p w14:paraId="499209F8"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Éter-fosfatidilcolina</w:t>
            </w:r>
          </w:p>
        </w:tc>
      </w:tr>
      <w:tr w:rsidR="00814E32" w14:paraId="1DB8A027"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35FBD4E6" w14:textId="77777777" w:rsidR="00814E32" w:rsidRDefault="00000000">
            <w:r>
              <w:rPr>
                <w:sz w:val="20"/>
              </w:rPr>
              <w:t>7</w:t>
            </w:r>
          </w:p>
        </w:tc>
        <w:tc>
          <w:tcPr>
            <w:tcW w:w="2209" w:type="dxa"/>
          </w:tcPr>
          <w:p w14:paraId="19235746"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SM(33:1)</w:t>
            </w:r>
          </w:p>
        </w:tc>
        <w:tc>
          <w:tcPr>
            <w:tcW w:w="2209" w:type="dxa"/>
          </w:tcPr>
          <w:p w14:paraId="7BD7C921"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0.023</w:t>
            </w:r>
          </w:p>
        </w:tc>
        <w:tc>
          <w:tcPr>
            <w:tcW w:w="2209" w:type="dxa"/>
          </w:tcPr>
          <w:p w14:paraId="204BF9BE"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Esfingomielina</w:t>
            </w:r>
          </w:p>
        </w:tc>
      </w:tr>
      <w:tr w:rsidR="00814E32" w14:paraId="25B2C431"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4EE4BF80" w14:textId="77777777" w:rsidR="00814E32" w:rsidRDefault="00000000">
            <w:r>
              <w:rPr>
                <w:sz w:val="20"/>
              </w:rPr>
              <w:t>8</w:t>
            </w:r>
          </w:p>
        </w:tc>
        <w:tc>
          <w:tcPr>
            <w:tcW w:w="2209" w:type="dxa"/>
          </w:tcPr>
          <w:p w14:paraId="38936858"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SM(42:3)</w:t>
            </w:r>
          </w:p>
        </w:tc>
        <w:tc>
          <w:tcPr>
            <w:tcW w:w="2209" w:type="dxa"/>
          </w:tcPr>
          <w:p w14:paraId="0A16BF74"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0.019</w:t>
            </w:r>
          </w:p>
        </w:tc>
        <w:tc>
          <w:tcPr>
            <w:tcW w:w="2209" w:type="dxa"/>
          </w:tcPr>
          <w:p w14:paraId="25BB838F"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Esfingomielina</w:t>
            </w:r>
          </w:p>
        </w:tc>
      </w:tr>
      <w:tr w:rsidR="00814E32" w14:paraId="710DC639"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561D4AF7" w14:textId="77777777" w:rsidR="00814E32" w:rsidRDefault="00000000">
            <w:r>
              <w:rPr>
                <w:sz w:val="20"/>
              </w:rPr>
              <w:t>9</w:t>
            </w:r>
          </w:p>
        </w:tc>
        <w:tc>
          <w:tcPr>
            <w:tcW w:w="2209" w:type="dxa"/>
          </w:tcPr>
          <w:p w14:paraId="3CD1C44A"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PC(36:5)</w:t>
            </w:r>
          </w:p>
        </w:tc>
        <w:tc>
          <w:tcPr>
            <w:tcW w:w="2209" w:type="dxa"/>
          </w:tcPr>
          <w:p w14:paraId="56642D90"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0.019</w:t>
            </w:r>
          </w:p>
        </w:tc>
        <w:tc>
          <w:tcPr>
            <w:tcW w:w="2209" w:type="dxa"/>
          </w:tcPr>
          <w:p w14:paraId="5C34CF9E"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Fosfatidilcolina</w:t>
            </w:r>
          </w:p>
        </w:tc>
      </w:tr>
      <w:tr w:rsidR="00814E32" w14:paraId="74CE9CE9"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9" w:type="dxa"/>
          </w:tcPr>
          <w:p w14:paraId="387A7324" w14:textId="77777777" w:rsidR="00814E32" w:rsidRDefault="00000000">
            <w:r>
              <w:rPr>
                <w:sz w:val="20"/>
              </w:rPr>
              <w:t>10</w:t>
            </w:r>
          </w:p>
        </w:tc>
        <w:tc>
          <w:tcPr>
            <w:tcW w:w="2209" w:type="dxa"/>
          </w:tcPr>
          <w:p w14:paraId="4C9FFE6D"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SM(d18:1/24:1)+SM(d18:2/24:0)</w:t>
            </w:r>
          </w:p>
        </w:tc>
        <w:tc>
          <w:tcPr>
            <w:tcW w:w="2209" w:type="dxa"/>
          </w:tcPr>
          <w:p w14:paraId="30F066FA"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0.011</w:t>
            </w:r>
          </w:p>
        </w:tc>
        <w:tc>
          <w:tcPr>
            <w:tcW w:w="2209" w:type="dxa"/>
          </w:tcPr>
          <w:p w14:paraId="11AB5453"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Esfingomielina</w:t>
            </w:r>
          </w:p>
        </w:tc>
      </w:tr>
    </w:tbl>
    <w:p w14:paraId="35668FA8" w14:textId="77777777" w:rsidR="00814E32" w:rsidRDefault="00814E32"/>
    <w:p w14:paraId="3AA1E0FF" w14:textId="77777777" w:rsidR="00814E32" w:rsidRDefault="00000000">
      <w:pPr>
        <w:spacing w:before="160" w:after="80"/>
      </w:pPr>
      <w:r>
        <w:rPr>
          <w:b/>
          <w:i/>
        </w:rPr>
        <w:t>4.4.2 Contribuciones SHAP diferenciadas por clase</w:t>
      </w:r>
    </w:p>
    <w:p w14:paraId="6F415C9E" w14:textId="77777777" w:rsidR="00814E32" w:rsidRPr="007809FB" w:rsidRDefault="00000000">
      <w:pPr>
        <w:ind w:firstLine="720"/>
        <w:jc w:val="both"/>
        <w:rPr>
          <w:lang w:val="es-MX"/>
        </w:rPr>
      </w:pPr>
      <w:r w:rsidRPr="007809FB">
        <w:rPr>
          <w:lang w:val="es-MX"/>
        </w:rPr>
        <w:t xml:space="preserve">Un hallazgo clave del análisis SHAP es que los biomarcadores tienen roles diferenciados según la clase diagnóstica (Figura 2, Tabla 8). Para la clase AA (adenomas avanzados), PC(O-16:0/16:0) es el predictor principal (media |SHAP| = 0.067), desplazando a </w:t>
      </w:r>
      <w:proofErr w:type="gramStart"/>
      <w:r w:rsidRPr="007809FB">
        <w:rPr>
          <w:lang w:val="es-MX"/>
        </w:rPr>
        <w:t>CE(</w:t>
      </w:r>
      <w:proofErr w:type="gramEnd"/>
      <w:r w:rsidRPr="007809FB">
        <w:rPr>
          <w:lang w:val="es-MX"/>
        </w:rPr>
        <w:t xml:space="preserve">20:5) a la segunda </w:t>
      </w:r>
      <w:proofErr w:type="spellStart"/>
      <w:r w:rsidRPr="007809FB">
        <w:rPr>
          <w:lang w:val="es-MX"/>
        </w:rPr>
        <w:t>posicion</w:t>
      </w:r>
      <w:proofErr w:type="spellEnd"/>
      <w:r w:rsidRPr="007809FB">
        <w:rPr>
          <w:lang w:val="es-MX"/>
        </w:rPr>
        <w:t xml:space="preserve"> (0.054). Este resultado sugiere que los éter-fosfolípidos capturan alteraciones metabólicas específicas de la fase </w:t>
      </w:r>
      <w:proofErr w:type="spellStart"/>
      <w:r w:rsidRPr="007809FB">
        <w:rPr>
          <w:lang w:val="es-MX"/>
        </w:rPr>
        <w:t>pre-maligna</w:t>
      </w:r>
      <w:proofErr w:type="spellEnd"/>
      <w:r w:rsidRPr="007809FB">
        <w:rPr>
          <w:lang w:val="es-MX"/>
        </w:rPr>
        <w:t xml:space="preserve"> que no son detectadas por los ésteres de colesterol.</w:t>
      </w:r>
    </w:p>
    <w:p w14:paraId="398B0C44" w14:textId="77777777" w:rsidR="00814E32" w:rsidRPr="007809FB" w:rsidRDefault="00000000">
      <w:pPr>
        <w:ind w:firstLine="720"/>
        <w:jc w:val="both"/>
        <w:rPr>
          <w:lang w:val="es-MX"/>
        </w:rPr>
      </w:pPr>
      <w:r w:rsidRPr="007809FB">
        <w:rPr>
          <w:lang w:val="es-MX"/>
        </w:rPr>
        <w:t xml:space="preserve">Para la clase CCR (cáncer confirmado), la variable clínica FIT domina las contribuciones (media |SHAP| = 0.077), lo cual es biológicamente coherente: el sangrado fecal detectable por FIT es un signo característico de tumores colorrectales avanzados. Los biomarcadores lipidómicos </w:t>
      </w:r>
      <w:proofErr w:type="gramStart"/>
      <w:r w:rsidRPr="007809FB">
        <w:rPr>
          <w:lang w:val="es-MX"/>
        </w:rPr>
        <w:t>TG(</w:t>
      </w:r>
      <w:proofErr w:type="gramEnd"/>
      <w:r w:rsidRPr="007809FB">
        <w:rPr>
          <w:lang w:val="es-MX"/>
        </w:rPr>
        <w:t xml:space="preserve">51:4) y </w:t>
      </w:r>
      <w:proofErr w:type="gramStart"/>
      <w:r w:rsidRPr="007809FB">
        <w:rPr>
          <w:lang w:val="es-MX"/>
        </w:rPr>
        <w:t>CE(</w:t>
      </w:r>
      <w:proofErr w:type="gramEnd"/>
      <w:r w:rsidRPr="007809FB">
        <w:rPr>
          <w:lang w:val="es-MX"/>
        </w:rPr>
        <w:t>20:5) ocupan las posiciones segunda y tercera (0.058 y 0.057).</w:t>
      </w:r>
    </w:p>
    <w:p w14:paraId="266251B7" w14:textId="77777777" w:rsidR="00814E32" w:rsidRPr="007809FB" w:rsidRDefault="00000000">
      <w:pPr>
        <w:ind w:firstLine="720"/>
        <w:jc w:val="both"/>
        <w:rPr>
          <w:lang w:val="es-MX"/>
        </w:rPr>
      </w:pPr>
      <w:r w:rsidRPr="007809FB">
        <w:rPr>
          <w:lang w:val="es-MX"/>
        </w:rPr>
        <w:t xml:space="preserve">Para la clase CTRL (controles sanos), </w:t>
      </w:r>
      <w:proofErr w:type="gramStart"/>
      <w:r w:rsidRPr="007809FB">
        <w:rPr>
          <w:lang w:val="es-MX"/>
        </w:rPr>
        <w:t>CE(</w:t>
      </w:r>
      <w:proofErr w:type="gramEnd"/>
      <w:r w:rsidRPr="007809FB">
        <w:rPr>
          <w:lang w:val="es-MX"/>
        </w:rPr>
        <w:t xml:space="preserve">20:5) es el </w:t>
      </w:r>
      <w:proofErr w:type="gramStart"/>
      <w:r w:rsidRPr="007809FB">
        <w:rPr>
          <w:lang w:val="es-MX"/>
        </w:rPr>
        <w:t>predictor dominante</w:t>
      </w:r>
      <w:proofErr w:type="gramEnd"/>
      <w:r w:rsidRPr="007809FB">
        <w:rPr>
          <w:lang w:val="es-MX"/>
        </w:rPr>
        <w:t xml:space="preserve"> (media |SHAP| = 0.100), seguido de </w:t>
      </w:r>
      <w:proofErr w:type="gramStart"/>
      <w:r w:rsidRPr="007809FB">
        <w:rPr>
          <w:lang w:val="es-MX"/>
        </w:rPr>
        <w:t>TG(</w:t>
      </w:r>
      <w:proofErr w:type="gramEnd"/>
      <w:r w:rsidRPr="007809FB">
        <w:rPr>
          <w:lang w:val="es-MX"/>
        </w:rPr>
        <w:t xml:space="preserve">51:4) (0.078) y FIT (0.077). La magnitud de </w:t>
      </w:r>
      <w:proofErr w:type="gramStart"/>
      <w:r w:rsidRPr="007809FB">
        <w:rPr>
          <w:lang w:val="es-MX"/>
        </w:rPr>
        <w:t>CE(</w:t>
      </w:r>
      <w:proofErr w:type="gramEnd"/>
      <w:r w:rsidRPr="007809FB">
        <w:rPr>
          <w:lang w:val="es-MX"/>
        </w:rPr>
        <w:t xml:space="preserve">20:5) </w:t>
      </w:r>
      <w:r w:rsidRPr="007809FB">
        <w:rPr>
          <w:lang w:val="es-MX"/>
        </w:rPr>
        <w:lastRenderedPageBreak/>
        <w:t>para CTRL es la más alta entre todas las combinaciones variable-clase, indicando que los niveles de este éster de colesterol son particularmente informativos para distinguir individuos sanos de pacientes con patología colorrectal.</w:t>
      </w:r>
    </w:p>
    <w:p w14:paraId="24E5981F" w14:textId="77777777" w:rsidR="00814E32" w:rsidRDefault="00000000">
      <w:pPr>
        <w:jc w:val="center"/>
      </w:pPr>
      <w:r>
        <w:rPr>
          <w:noProof/>
        </w:rPr>
        <w:drawing>
          <wp:inline distT="0" distB="0" distL="0" distR="0" wp14:anchorId="7ECA0D02" wp14:editId="2861F692">
            <wp:extent cx="5486400" cy="18168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_plot_por_clase.png"/>
                    <pic:cNvPicPr/>
                  </pic:nvPicPr>
                  <pic:blipFill>
                    <a:blip r:embed="rId7"/>
                    <a:stretch>
                      <a:fillRect/>
                    </a:stretch>
                  </pic:blipFill>
                  <pic:spPr>
                    <a:xfrm>
                      <a:off x="0" y="0"/>
                      <a:ext cx="5486400" cy="1816878"/>
                    </a:xfrm>
                    <a:prstGeom prst="rect">
                      <a:avLst/>
                    </a:prstGeom>
                  </pic:spPr>
                </pic:pic>
              </a:graphicData>
            </a:graphic>
          </wp:inline>
        </w:drawing>
      </w:r>
    </w:p>
    <w:p w14:paraId="1709B169" w14:textId="77777777" w:rsidR="00814E32" w:rsidRPr="007809FB" w:rsidRDefault="00000000">
      <w:pPr>
        <w:spacing w:after="240"/>
        <w:jc w:val="center"/>
        <w:rPr>
          <w:lang w:val="es-MX"/>
        </w:rPr>
      </w:pPr>
      <w:r w:rsidRPr="007809FB">
        <w:rPr>
          <w:b/>
          <w:sz w:val="20"/>
          <w:lang w:val="es-MX"/>
        </w:rPr>
        <w:t>Figura 2. Importancia SHAP desglosada por clase (AA, CCR, CTRL). Los biomarcadores presentan roles diferenciados según el estado de progresión.</w:t>
      </w:r>
    </w:p>
    <w:p w14:paraId="69E7BBF2" w14:textId="77777777" w:rsidR="00814E32" w:rsidRPr="007809FB" w:rsidRDefault="00000000">
      <w:pPr>
        <w:spacing w:before="240"/>
        <w:rPr>
          <w:lang w:val="es-MX"/>
        </w:rPr>
      </w:pPr>
      <w:r w:rsidRPr="007809FB">
        <w:rPr>
          <w:b/>
          <w:sz w:val="20"/>
          <w:lang w:val="es-MX"/>
        </w:rPr>
        <w:t>Tabla 8. Top-5 biomarcadores por clase según SHAP.</w:t>
      </w:r>
    </w:p>
    <w:tbl>
      <w:tblPr>
        <w:tblStyle w:val="Cuadrculaclara-nfasis1"/>
        <w:tblW w:w="0" w:type="auto"/>
        <w:jc w:val="center"/>
        <w:tblLook w:val="04A0" w:firstRow="1" w:lastRow="0" w:firstColumn="1" w:lastColumn="0" w:noHBand="0" w:noVBand="1"/>
      </w:tblPr>
      <w:tblGrid>
        <w:gridCol w:w="990"/>
        <w:gridCol w:w="1794"/>
        <w:gridCol w:w="1096"/>
        <w:gridCol w:w="1188"/>
        <w:gridCol w:w="1096"/>
        <w:gridCol w:w="1794"/>
        <w:gridCol w:w="1096"/>
      </w:tblGrid>
      <w:tr w:rsidR="00814E32" w14:paraId="08F1783E" w14:textId="77777777" w:rsidTr="00814E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3" w:type="dxa"/>
          </w:tcPr>
          <w:p w14:paraId="7A221298" w14:textId="77777777" w:rsidR="00814E32" w:rsidRDefault="00000000">
            <w:r>
              <w:rPr>
                <w:sz w:val="20"/>
              </w:rPr>
              <w:t>Pos.</w:t>
            </w:r>
          </w:p>
        </w:tc>
        <w:tc>
          <w:tcPr>
            <w:tcW w:w="1263" w:type="dxa"/>
          </w:tcPr>
          <w:p w14:paraId="08304FB4"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AA (Adenoma Av.)</w:t>
            </w:r>
          </w:p>
        </w:tc>
        <w:tc>
          <w:tcPr>
            <w:tcW w:w="1263" w:type="dxa"/>
          </w:tcPr>
          <w:p w14:paraId="406E50E2"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|SHAP|</w:t>
            </w:r>
          </w:p>
        </w:tc>
        <w:tc>
          <w:tcPr>
            <w:tcW w:w="1263" w:type="dxa"/>
          </w:tcPr>
          <w:p w14:paraId="6321B32F"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CCR (Cáncer)</w:t>
            </w:r>
          </w:p>
        </w:tc>
        <w:tc>
          <w:tcPr>
            <w:tcW w:w="1263" w:type="dxa"/>
          </w:tcPr>
          <w:p w14:paraId="1EE3FE0C"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|SHAP|</w:t>
            </w:r>
          </w:p>
        </w:tc>
        <w:tc>
          <w:tcPr>
            <w:tcW w:w="1263" w:type="dxa"/>
          </w:tcPr>
          <w:p w14:paraId="2B95E262"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CTRL (Control)</w:t>
            </w:r>
          </w:p>
        </w:tc>
        <w:tc>
          <w:tcPr>
            <w:tcW w:w="1263" w:type="dxa"/>
          </w:tcPr>
          <w:p w14:paraId="301AA324"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|SHAP|</w:t>
            </w:r>
          </w:p>
        </w:tc>
      </w:tr>
      <w:tr w:rsidR="00814E32" w14:paraId="305708F4"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3" w:type="dxa"/>
          </w:tcPr>
          <w:p w14:paraId="329EA609" w14:textId="77777777" w:rsidR="00814E32" w:rsidRDefault="00000000">
            <w:r>
              <w:rPr>
                <w:sz w:val="20"/>
              </w:rPr>
              <w:t>1</w:t>
            </w:r>
          </w:p>
        </w:tc>
        <w:tc>
          <w:tcPr>
            <w:tcW w:w="1263" w:type="dxa"/>
          </w:tcPr>
          <w:p w14:paraId="0B547400"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PC(O-16:0/16:0)</w:t>
            </w:r>
          </w:p>
        </w:tc>
        <w:tc>
          <w:tcPr>
            <w:tcW w:w="1263" w:type="dxa"/>
          </w:tcPr>
          <w:p w14:paraId="41F2D77A"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0.067</w:t>
            </w:r>
          </w:p>
        </w:tc>
        <w:tc>
          <w:tcPr>
            <w:tcW w:w="1263" w:type="dxa"/>
          </w:tcPr>
          <w:p w14:paraId="1C4134FF"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FIT (microg/g)</w:t>
            </w:r>
          </w:p>
        </w:tc>
        <w:tc>
          <w:tcPr>
            <w:tcW w:w="1263" w:type="dxa"/>
          </w:tcPr>
          <w:p w14:paraId="0C9ACDAB"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0.077</w:t>
            </w:r>
          </w:p>
        </w:tc>
        <w:tc>
          <w:tcPr>
            <w:tcW w:w="1263" w:type="dxa"/>
          </w:tcPr>
          <w:p w14:paraId="29D0C0FC"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CE(20:5)</w:t>
            </w:r>
          </w:p>
        </w:tc>
        <w:tc>
          <w:tcPr>
            <w:tcW w:w="1263" w:type="dxa"/>
          </w:tcPr>
          <w:p w14:paraId="48884F4D"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0.100</w:t>
            </w:r>
          </w:p>
        </w:tc>
      </w:tr>
      <w:tr w:rsidR="00814E32" w14:paraId="5D2AB435"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3" w:type="dxa"/>
          </w:tcPr>
          <w:p w14:paraId="15FF332A" w14:textId="77777777" w:rsidR="00814E32" w:rsidRDefault="00000000">
            <w:r>
              <w:rPr>
                <w:sz w:val="20"/>
              </w:rPr>
              <w:t>2</w:t>
            </w:r>
          </w:p>
        </w:tc>
        <w:tc>
          <w:tcPr>
            <w:tcW w:w="1263" w:type="dxa"/>
          </w:tcPr>
          <w:p w14:paraId="7A5A8069"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CE(20:5)</w:t>
            </w:r>
          </w:p>
        </w:tc>
        <w:tc>
          <w:tcPr>
            <w:tcW w:w="1263" w:type="dxa"/>
          </w:tcPr>
          <w:p w14:paraId="7CFD3826"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0.054</w:t>
            </w:r>
          </w:p>
        </w:tc>
        <w:tc>
          <w:tcPr>
            <w:tcW w:w="1263" w:type="dxa"/>
          </w:tcPr>
          <w:p w14:paraId="195FFB53"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TG(51:4)</w:t>
            </w:r>
          </w:p>
        </w:tc>
        <w:tc>
          <w:tcPr>
            <w:tcW w:w="1263" w:type="dxa"/>
          </w:tcPr>
          <w:p w14:paraId="123959D3"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0.058</w:t>
            </w:r>
          </w:p>
        </w:tc>
        <w:tc>
          <w:tcPr>
            <w:tcW w:w="1263" w:type="dxa"/>
          </w:tcPr>
          <w:p w14:paraId="3D37AFBF"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TG(51:4)</w:t>
            </w:r>
          </w:p>
        </w:tc>
        <w:tc>
          <w:tcPr>
            <w:tcW w:w="1263" w:type="dxa"/>
          </w:tcPr>
          <w:p w14:paraId="1C5DFFCA"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0.078</w:t>
            </w:r>
          </w:p>
        </w:tc>
      </w:tr>
      <w:tr w:rsidR="00814E32" w14:paraId="3AC42627"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3" w:type="dxa"/>
          </w:tcPr>
          <w:p w14:paraId="4A504E90" w14:textId="77777777" w:rsidR="00814E32" w:rsidRDefault="00000000">
            <w:r>
              <w:rPr>
                <w:sz w:val="20"/>
              </w:rPr>
              <w:t>3</w:t>
            </w:r>
          </w:p>
        </w:tc>
        <w:tc>
          <w:tcPr>
            <w:tcW w:w="1263" w:type="dxa"/>
          </w:tcPr>
          <w:p w14:paraId="05E2C714"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TG(51:4)</w:t>
            </w:r>
          </w:p>
        </w:tc>
        <w:tc>
          <w:tcPr>
            <w:tcW w:w="1263" w:type="dxa"/>
          </w:tcPr>
          <w:p w14:paraId="67FBF8CB"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0.034</w:t>
            </w:r>
          </w:p>
        </w:tc>
        <w:tc>
          <w:tcPr>
            <w:tcW w:w="1263" w:type="dxa"/>
          </w:tcPr>
          <w:p w14:paraId="48847C3B"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CE(20:5)</w:t>
            </w:r>
          </w:p>
        </w:tc>
        <w:tc>
          <w:tcPr>
            <w:tcW w:w="1263" w:type="dxa"/>
          </w:tcPr>
          <w:p w14:paraId="1D9EC046"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0.057</w:t>
            </w:r>
          </w:p>
        </w:tc>
        <w:tc>
          <w:tcPr>
            <w:tcW w:w="1263" w:type="dxa"/>
          </w:tcPr>
          <w:p w14:paraId="6E42F2ED"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FIT (microg/g)</w:t>
            </w:r>
          </w:p>
        </w:tc>
        <w:tc>
          <w:tcPr>
            <w:tcW w:w="1263" w:type="dxa"/>
          </w:tcPr>
          <w:p w14:paraId="196E6277"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0.077</w:t>
            </w:r>
          </w:p>
        </w:tc>
      </w:tr>
      <w:tr w:rsidR="00814E32" w14:paraId="3D4B9AF5"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3" w:type="dxa"/>
          </w:tcPr>
          <w:p w14:paraId="11F8857B" w14:textId="77777777" w:rsidR="00814E32" w:rsidRDefault="00000000">
            <w:r>
              <w:rPr>
                <w:sz w:val="20"/>
              </w:rPr>
              <w:t>4</w:t>
            </w:r>
          </w:p>
        </w:tc>
        <w:tc>
          <w:tcPr>
            <w:tcW w:w="1263" w:type="dxa"/>
          </w:tcPr>
          <w:p w14:paraId="062574F6"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GlcCer(d18:1/24:0)</w:t>
            </w:r>
          </w:p>
        </w:tc>
        <w:tc>
          <w:tcPr>
            <w:tcW w:w="1263" w:type="dxa"/>
          </w:tcPr>
          <w:p w14:paraId="6604BA76"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0.029</w:t>
            </w:r>
          </w:p>
        </w:tc>
        <w:tc>
          <w:tcPr>
            <w:tcW w:w="1263" w:type="dxa"/>
          </w:tcPr>
          <w:p w14:paraId="5E722A71"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PC(O-16:0/16:0)</w:t>
            </w:r>
          </w:p>
        </w:tc>
        <w:tc>
          <w:tcPr>
            <w:tcW w:w="1263" w:type="dxa"/>
          </w:tcPr>
          <w:p w14:paraId="5CD30844"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0.055</w:t>
            </w:r>
          </w:p>
        </w:tc>
        <w:tc>
          <w:tcPr>
            <w:tcW w:w="1263" w:type="dxa"/>
          </w:tcPr>
          <w:p w14:paraId="26F10307"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GlcCer(d18:1/24:0)</w:t>
            </w:r>
          </w:p>
        </w:tc>
        <w:tc>
          <w:tcPr>
            <w:tcW w:w="1263" w:type="dxa"/>
          </w:tcPr>
          <w:p w14:paraId="070DF3B8"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0.035</w:t>
            </w:r>
          </w:p>
        </w:tc>
      </w:tr>
      <w:tr w:rsidR="00814E32" w14:paraId="1B5C1413"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3" w:type="dxa"/>
          </w:tcPr>
          <w:p w14:paraId="18847CED" w14:textId="77777777" w:rsidR="00814E32" w:rsidRDefault="00000000">
            <w:r>
              <w:rPr>
                <w:sz w:val="20"/>
              </w:rPr>
              <w:t>5</w:t>
            </w:r>
          </w:p>
        </w:tc>
        <w:tc>
          <w:tcPr>
            <w:tcW w:w="1263" w:type="dxa"/>
          </w:tcPr>
          <w:p w14:paraId="2DB9545C"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SM(33:1)</w:t>
            </w:r>
          </w:p>
        </w:tc>
        <w:tc>
          <w:tcPr>
            <w:tcW w:w="1263" w:type="dxa"/>
          </w:tcPr>
          <w:p w14:paraId="39E6131B"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0.022</w:t>
            </w:r>
          </w:p>
        </w:tc>
        <w:tc>
          <w:tcPr>
            <w:tcW w:w="1263" w:type="dxa"/>
          </w:tcPr>
          <w:p w14:paraId="4A77C9CD"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PC(O-16:0/18:2)</w:t>
            </w:r>
          </w:p>
        </w:tc>
        <w:tc>
          <w:tcPr>
            <w:tcW w:w="1263" w:type="dxa"/>
          </w:tcPr>
          <w:p w14:paraId="708592E3"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0.037</w:t>
            </w:r>
          </w:p>
        </w:tc>
        <w:tc>
          <w:tcPr>
            <w:tcW w:w="1263" w:type="dxa"/>
          </w:tcPr>
          <w:p w14:paraId="4F61115D"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PC(O-16:0/16:0)</w:t>
            </w:r>
          </w:p>
        </w:tc>
        <w:tc>
          <w:tcPr>
            <w:tcW w:w="1263" w:type="dxa"/>
          </w:tcPr>
          <w:p w14:paraId="59E40336"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0.031</w:t>
            </w:r>
          </w:p>
        </w:tc>
      </w:tr>
    </w:tbl>
    <w:p w14:paraId="367ACE22" w14:textId="77777777" w:rsidR="00814E32" w:rsidRDefault="00814E32"/>
    <w:p w14:paraId="26332146" w14:textId="77777777" w:rsidR="007809FB" w:rsidRDefault="007809FB"/>
    <w:p w14:paraId="4082EBD9" w14:textId="77777777" w:rsidR="007809FB" w:rsidRDefault="007809FB"/>
    <w:p w14:paraId="2042AECB" w14:textId="77777777" w:rsidR="00814E32" w:rsidRPr="007809FB" w:rsidRDefault="00000000">
      <w:pPr>
        <w:spacing w:before="160" w:after="80"/>
        <w:rPr>
          <w:lang w:val="es-MX"/>
        </w:rPr>
      </w:pPr>
      <w:r w:rsidRPr="007809FB">
        <w:rPr>
          <w:b/>
          <w:i/>
          <w:lang w:val="es-MX"/>
        </w:rPr>
        <w:lastRenderedPageBreak/>
        <w:t xml:space="preserve">4.4.3 </w:t>
      </w:r>
      <w:proofErr w:type="spellStart"/>
      <w:r w:rsidRPr="007809FB">
        <w:rPr>
          <w:b/>
          <w:i/>
          <w:lang w:val="es-MX"/>
        </w:rPr>
        <w:t>Explicabilidad</w:t>
      </w:r>
      <w:proofErr w:type="spellEnd"/>
      <w:r w:rsidRPr="007809FB">
        <w:rPr>
          <w:b/>
          <w:i/>
          <w:lang w:val="es-MX"/>
        </w:rPr>
        <w:t xml:space="preserve"> a nivel de paciente individual</w:t>
      </w:r>
    </w:p>
    <w:p w14:paraId="39385D51" w14:textId="77777777" w:rsidR="00814E32" w:rsidRPr="007809FB" w:rsidRDefault="00000000">
      <w:pPr>
        <w:ind w:firstLine="720"/>
        <w:jc w:val="both"/>
        <w:rPr>
          <w:lang w:val="es-MX"/>
        </w:rPr>
      </w:pPr>
      <w:r w:rsidRPr="007809FB">
        <w:rPr>
          <w:lang w:val="es-MX"/>
        </w:rPr>
        <w:t xml:space="preserve">Las Figuras 3, 4 y 5 presentan las contribuciones SHAP para pacientes individuales representativos de cada clase, correctamente clasificados por el modelo. En el paciente AA (Figura 3), </w:t>
      </w:r>
      <w:proofErr w:type="spellStart"/>
      <w:r w:rsidRPr="007809FB">
        <w:rPr>
          <w:lang w:val="es-MX"/>
        </w:rPr>
        <w:t>GlcCer</w:t>
      </w:r>
      <w:proofErr w:type="spellEnd"/>
      <w:r w:rsidRPr="007809FB">
        <w:rPr>
          <w:lang w:val="es-MX"/>
        </w:rPr>
        <w:t xml:space="preserve">(d18:1/24:0) y PC(O-16:0/16:0) son los principales contribuyentes positivos (aumentan la probabilidad de AA), mientras que </w:t>
      </w:r>
      <w:proofErr w:type="gramStart"/>
      <w:r w:rsidRPr="007809FB">
        <w:rPr>
          <w:lang w:val="es-MX"/>
        </w:rPr>
        <w:t>CE(</w:t>
      </w:r>
      <w:proofErr w:type="gramEnd"/>
      <w:r w:rsidRPr="007809FB">
        <w:rPr>
          <w:lang w:val="es-MX"/>
        </w:rPr>
        <w:t>20:5) contribuye negativamente (disminuye la probabilidad de AA). Este patrón diferencial permite al clínico comprender por qué el modelo clasifica al paciente como adenoma avanzado y no como control o cáncer.</w:t>
      </w:r>
    </w:p>
    <w:p w14:paraId="4260AF69" w14:textId="77777777" w:rsidR="00814E32" w:rsidRPr="007809FB" w:rsidRDefault="00000000">
      <w:pPr>
        <w:ind w:firstLine="720"/>
        <w:jc w:val="both"/>
        <w:rPr>
          <w:lang w:val="es-MX"/>
        </w:rPr>
      </w:pPr>
      <w:r w:rsidRPr="007809FB">
        <w:rPr>
          <w:lang w:val="es-MX"/>
        </w:rPr>
        <w:t xml:space="preserve">En el paciente CCR (Figura 4), FIT es el contribuyente principal, seguido de </w:t>
      </w:r>
      <w:proofErr w:type="gramStart"/>
      <w:r w:rsidRPr="007809FB">
        <w:rPr>
          <w:lang w:val="es-MX"/>
        </w:rPr>
        <w:t>TG(</w:t>
      </w:r>
      <w:proofErr w:type="gramEnd"/>
      <w:r w:rsidRPr="007809FB">
        <w:rPr>
          <w:lang w:val="es-MX"/>
        </w:rPr>
        <w:t xml:space="preserve">51:4) y </w:t>
      </w:r>
      <w:proofErr w:type="gramStart"/>
      <w:r w:rsidRPr="007809FB">
        <w:rPr>
          <w:lang w:val="es-MX"/>
        </w:rPr>
        <w:t>CE(</w:t>
      </w:r>
      <w:proofErr w:type="gramEnd"/>
      <w:r w:rsidRPr="007809FB">
        <w:rPr>
          <w:lang w:val="es-MX"/>
        </w:rPr>
        <w:t>20:5), consistente con el patrón de sangrado fecal elevado y alteraciones lipídicas severas propias del cáncer confirmado. Las esfingomielinas SM(d18:1/22:0) y SM(d18:1/24:1) contribuyen negativamente, sugiriendo que sus niveles en este paciente no son consistentes con el perfil típico de CCR.</w:t>
      </w:r>
    </w:p>
    <w:p w14:paraId="123637D3" w14:textId="77777777" w:rsidR="00814E32" w:rsidRPr="007809FB" w:rsidRDefault="00000000">
      <w:pPr>
        <w:ind w:firstLine="720"/>
        <w:jc w:val="both"/>
        <w:rPr>
          <w:lang w:val="es-MX"/>
        </w:rPr>
      </w:pPr>
      <w:r w:rsidRPr="007809FB">
        <w:rPr>
          <w:lang w:val="es-MX"/>
        </w:rPr>
        <w:t xml:space="preserve">En el paciente CTRL (Figura 5), todas las contribuciones son positivas (aumentan la probabilidad de clasificación como control sano), lideradas por </w:t>
      </w:r>
      <w:proofErr w:type="gramStart"/>
      <w:r w:rsidRPr="007809FB">
        <w:rPr>
          <w:lang w:val="es-MX"/>
        </w:rPr>
        <w:t>CE(</w:t>
      </w:r>
      <w:proofErr w:type="gramEnd"/>
      <w:r w:rsidRPr="007809FB">
        <w:rPr>
          <w:lang w:val="es-MX"/>
        </w:rPr>
        <w:t>20:5) y FIT con valores bajos. La ausencia de contribuciones negativas refleja un perfil metabólico consistentemente normal.</w:t>
      </w:r>
    </w:p>
    <w:p w14:paraId="4508439D" w14:textId="77777777" w:rsidR="00814E32" w:rsidRDefault="00000000">
      <w:pPr>
        <w:jc w:val="center"/>
      </w:pPr>
      <w:r>
        <w:rPr>
          <w:noProof/>
        </w:rPr>
        <w:lastRenderedPageBreak/>
        <w:drawing>
          <wp:inline distT="0" distB="0" distL="0" distR="0" wp14:anchorId="513D07CB" wp14:editId="2D60DEE6">
            <wp:extent cx="5029200" cy="29785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AA.png"/>
                    <pic:cNvPicPr/>
                  </pic:nvPicPr>
                  <pic:blipFill>
                    <a:blip r:embed="rId8"/>
                    <a:stretch>
                      <a:fillRect/>
                    </a:stretch>
                  </pic:blipFill>
                  <pic:spPr>
                    <a:xfrm>
                      <a:off x="0" y="0"/>
                      <a:ext cx="5029200" cy="2978573"/>
                    </a:xfrm>
                    <a:prstGeom prst="rect">
                      <a:avLst/>
                    </a:prstGeom>
                  </pic:spPr>
                </pic:pic>
              </a:graphicData>
            </a:graphic>
          </wp:inline>
        </w:drawing>
      </w:r>
    </w:p>
    <w:p w14:paraId="6916AD15" w14:textId="77777777" w:rsidR="00814E32" w:rsidRPr="007809FB" w:rsidRDefault="00000000">
      <w:pPr>
        <w:spacing w:after="240"/>
        <w:jc w:val="center"/>
        <w:rPr>
          <w:lang w:val="es-MX"/>
        </w:rPr>
      </w:pPr>
      <w:r w:rsidRPr="007809FB">
        <w:rPr>
          <w:b/>
          <w:sz w:val="20"/>
          <w:lang w:val="es-MX"/>
        </w:rPr>
        <w:t>Figura 3. Contribuciones SHAP para un paciente AA correctamente clasificado.</w:t>
      </w:r>
    </w:p>
    <w:p w14:paraId="25FAF0AC" w14:textId="77777777" w:rsidR="00814E32" w:rsidRDefault="00000000">
      <w:pPr>
        <w:jc w:val="center"/>
      </w:pPr>
      <w:r>
        <w:rPr>
          <w:noProof/>
        </w:rPr>
        <w:drawing>
          <wp:inline distT="0" distB="0" distL="0" distR="0" wp14:anchorId="7853E376" wp14:editId="454A11C4">
            <wp:extent cx="5029200" cy="29785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CRC.png"/>
                    <pic:cNvPicPr/>
                  </pic:nvPicPr>
                  <pic:blipFill>
                    <a:blip r:embed="rId9"/>
                    <a:stretch>
                      <a:fillRect/>
                    </a:stretch>
                  </pic:blipFill>
                  <pic:spPr>
                    <a:xfrm>
                      <a:off x="0" y="0"/>
                      <a:ext cx="5029200" cy="2978573"/>
                    </a:xfrm>
                    <a:prstGeom prst="rect">
                      <a:avLst/>
                    </a:prstGeom>
                  </pic:spPr>
                </pic:pic>
              </a:graphicData>
            </a:graphic>
          </wp:inline>
        </w:drawing>
      </w:r>
    </w:p>
    <w:p w14:paraId="26EFBB7F" w14:textId="77777777" w:rsidR="00814E32" w:rsidRPr="007809FB" w:rsidRDefault="00000000">
      <w:pPr>
        <w:spacing w:after="240"/>
        <w:jc w:val="center"/>
        <w:rPr>
          <w:lang w:val="es-MX"/>
        </w:rPr>
      </w:pPr>
      <w:r w:rsidRPr="007809FB">
        <w:rPr>
          <w:b/>
          <w:sz w:val="20"/>
          <w:lang w:val="es-MX"/>
        </w:rPr>
        <w:t>Figura 4. Contribuciones SHAP para un paciente CCR correctamente clasificado.</w:t>
      </w:r>
    </w:p>
    <w:p w14:paraId="55F8B5C7" w14:textId="77777777" w:rsidR="00814E32" w:rsidRDefault="00000000">
      <w:pPr>
        <w:jc w:val="center"/>
      </w:pPr>
      <w:r>
        <w:rPr>
          <w:noProof/>
        </w:rPr>
        <w:lastRenderedPageBreak/>
        <w:drawing>
          <wp:inline distT="0" distB="0" distL="0" distR="0" wp14:anchorId="45985542" wp14:editId="000BA2A4">
            <wp:extent cx="5029200" cy="29785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CTRL.png"/>
                    <pic:cNvPicPr/>
                  </pic:nvPicPr>
                  <pic:blipFill>
                    <a:blip r:embed="rId10"/>
                    <a:stretch>
                      <a:fillRect/>
                    </a:stretch>
                  </pic:blipFill>
                  <pic:spPr>
                    <a:xfrm>
                      <a:off x="0" y="0"/>
                      <a:ext cx="5029200" cy="2978573"/>
                    </a:xfrm>
                    <a:prstGeom prst="rect">
                      <a:avLst/>
                    </a:prstGeom>
                  </pic:spPr>
                </pic:pic>
              </a:graphicData>
            </a:graphic>
          </wp:inline>
        </w:drawing>
      </w:r>
    </w:p>
    <w:p w14:paraId="41626770" w14:textId="77777777" w:rsidR="00814E32" w:rsidRPr="007809FB" w:rsidRDefault="00000000">
      <w:pPr>
        <w:spacing w:after="240"/>
        <w:jc w:val="center"/>
        <w:rPr>
          <w:lang w:val="es-MX"/>
        </w:rPr>
      </w:pPr>
      <w:r w:rsidRPr="007809FB">
        <w:rPr>
          <w:b/>
          <w:sz w:val="20"/>
          <w:lang w:val="es-MX"/>
        </w:rPr>
        <w:t>Figura 5. Contribuciones SHAP para un paciente CTRL correctamente clasificado.</w:t>
      </w:r>
    </w:p>
    <w:p w14:paraId="77270CD9" w14:textId="77777777" w:rsidR="00814E32" w:rsidRPr="007809FB" w:rsidRDefault="00000000">
      <w:pPr>
        <w:spacing w:before="240" w:after="80"/>
        <w:rPr>
          <w:lang w:val="es-MX"/>
        </w:rPr>
      </w:pPr>
      <w:r w:rsidRPr="007809FB">
        <w:rPr>
          <w:b/>
          <w:lang w:val="es-MX"/>
        </w:rPr>
        <w:t>4.5 Evolución del rendimiento</w:t>
      </w:r>
    </w:p>
    <w:p w14:paraId="3024E6E1" w14:textId="77777777" w:rsidR="00814E32" w:rsidRPr="007809FB" w:rsidRDefault="00000000">
      <w:pPr>
        <w:ind w:firstLine="720"/>
        <w:jc w:val="both"/>
        <w:rPr>
          <w:lang w:val="es-MX"/>
        </w:rPr>
      </w:pPr>
      <w:r w:rsidRPr="007809FB">
        <w:rPr>
          <w:lang w:val="es-MX"/>
        </w:rPr>
        <w:t xml:space="preserve">La Tabla 9 traza la evolución del rendimiento a lo largo del pipeline de modelado, demostrando mejora consistente desde el </w:t>
      </w:r>
      <w:proofErr w:type="spellStart"/>
      <w:r w:rsidRPr="007809FB">
        <w:rPr>
          <w:lang w:val="es-MX"/>
        </w:rPr>
        <w:t>baseline</w:t>
      </w:r>
      <w:proofErr w:type="spellEnd"/>
      <w:r w:rsidRPr="007809FB">
        <w:rPr>
          <w:lang w:val="es-MX"/>
        </w:rPr>
        <w:t xml:space="preserve"> lineal hasta el ensemble final.</w:t>
      </w:r>
    </w:p>
    <w:p w14:paraId="12BA1DEF" w14:textId="77777777" w:rsidR="00814E32" w:rsidRPr="007809FB" w:rsidRDefault="00000000">
      <w:pPr>
        <w:spacing w:before="240"/>
        <w:rPr>
          <w:lang w:val="es-MX"/>
        </w:rPr>
      </w:pPr>
      <w:r w:rsidRPr="007809FB">
        <w:rPr>
          <w:b/>
          <w:sz w:val="20"/>
          <w:lang w:val="es-MX"/>
        </w:rPr>
        <w:t>Tabla 9. Evolución del rendimiento a lo largo del pipeline de modelado.</w:t>
      </w:r>
    </w:p>
    <w:tbl>
      <w:tblPr>
        <w:tblStyle w:val="Cuadrculaclara-nfasis1"/>
        <w:tblW w:w="0" w:type="auto"/>
        <w:jc w:val="center"/>
        <w:tblLook w:val="04A0" w:firstRow="1" w:lastRow="0" w:firstColumn="1" w:lastColumn="0" w:noHBand="0" w:noVBand="1"/>
      </w:tblPr>
      <w:tblGrid>
        <w:gridCol w:w="1768"/>
        <w:gridCol w:w="1768"/>
        <w:gridCol w:w="1768"/>
        <w:gridCol w:w="1768"/>
        <w:gridCol w:w="1768"/>
      </w:tblGrid>
      <w:tr w:rsidR="00814E32" w14:paraId="5A50AE15" w14:textId="77777777" w:rsidTr="00814E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091B0549" w14:textId="77777777" w:rsidR="00814E32" w:rsidRDefault="00000000">
            <w:r>
              <w:rPr>
                <w:sz w:val="20"/>
              </w:rPr>
              <w:t>Fase</w:t>
            </w:r>
          </w:p>
        </w:tc>
        <w:tc>
          <w:tcPr>
            <w:tcW w:w="1768" w:type="dxa"/>
          </w:tcPr>
          <w:p w14:paraId="6CA6827B"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Modelo</w:t>
            </w:r>
          </w:p>
        </w:tc>
        <w:tc>
          <w:tcPr>
            <w:tcW w:w="1768" w:type="dxa"/>
          </w:tcPr>
          <w:p w14:paraId="4AE89508"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F1 Macro</w:t>
            </w:r>
          </w:p>
        </w:tc>
        <w:tc>
          <w:tcPr>
            <w:tcW w:w="1768" w:type="dxa"/>
          </w:tcPr>
          <w:p w14:paraId="57AA208F"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F1 AA</w:t>
            </w:r>
          </w:p>
        </w:tc>
        <w:tc>
          <w:tcPr>
            <w:tcW w:w="1768" w:type="dxa"/>
          </w:tcPr>
          <w:p w14:paraId="34AFE0D2"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Recall AA</w:t>
            </w:r>
          </w:p>
        </w:tc>
      </w:tr>
      <w:tr w:rsidR="00814E32" w14:paraId="6F33B520"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643334A4" w14:textId="77777777" w:rsidR="00814E32" w:rsidRDefault="00000000">
            <w:r>
              <w:rPr>
                <w:sz w:val="20"/>
              </w:rPr>
              <w:t>Baseline</w:t>
            </w:r>
          </w:p>
        </w:tc>
        <w:tc>
          <w:tcPr>
            <w:tcW w:w="1768" w:type="dxa"/>
          </w:tcPr>
          <w:p w14:paraId="1B776FB1"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Regresión Logística</w:t>
            </w:r>
          </w:p>
        </w:tc>
        <w:tc>
          <w:tcPr>
            <w:tcW w:w="1768" w:type="dxa"/>
          </w:tcPr>
          <w:p w14:paraId="5004934B"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0.628</w:t>
            </w:r>
          </w:p>
        </w:tc>
        <w:tc>
          <w:tcPr>
            <w:tcW w:w="1768" w:type="dxa"/>
          </w:tcPr>
          <w:p w14:paraId="5A9394B6"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0.45</w:t>
            </w:r>
          </w:p>
        </w:tc>
        <w:tc>
          <w:tcPr>
            <w:tcW w:w="1768" w:type="dxa"/>
          </w:tcPr>
          <w:p w14:paraId="6ABCFC9B"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0.47</w:t>
            </w:r>
          </w:p>
        </w:tc>
      </w:tr>
      <w:tr w:rsidR="00814E32" w14:paraId="21AE65F2"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2DB87F44" w14:textId="77777777" w:rsidR="00814E32" w:rsidRDefault="00000000">
            <w:r>
              <w:rPr>
                <w:sz w:val="20"/>
              </w:rPr>
              <w:t>Individuales</w:t>
            </w:r>
          </w:p>
        </w:tc>
        <w:tc>
          <w:tcPr>
            <w:tcW w:w="1768" w:type="dxa"/>
          </w:tcPr>
          <w:p w14:paraId="19F72A3F"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Árbol de Decisión</w:t>
            </w:r>
          </w:p>
        </w:tc>
        <w:tc>
          <w:tcPr>
            <w:tcW w:w="1768" w:type="dxa"/>
          </w:tcPr>
          <w:p w14:paraId="3A1C84DC"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0.681</w:t>
            </w:r>
          </w:p>
        </w:tc>
        <w:tc>
          <w:tcPr>
            <w:tcW w:w="1768" w:type="dxa"/>
          </w:tcPr>
          <w:p w14:paraId="7321BAD2"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0.55</w:t>
            </w:r>
          </w:p>
        </w:tc>
        <w:tc>
          <w:tcPr>
            <w:tcW w:w="1768" w:type="dxa"/>
          </w:tcPr>
          <w:p w14:paraId="7008EE64"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0.50</w:t>
            </w:r>
          </w:p>
        </w:tc>
      </w:tr>
      <w:tr w:rsidR="00814E32" w14:paraId="165AE07D"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3A89B2E1" w14:textId="77777777" w:rsidR="00814E32" w:rsidRDefault="00000000">
            <w:r>
              <w:rPr>
                <w:sz w:val="20"/>
              </w:rPr>
              <w:t>Ensembles</w:t>
            </w:r>
          </w:p>
        </w:tc>
        <w:tc>
          <w:tcPr>
            <w:tcW w:w="1768" w:type="dxa"/>
          </w:tcPr>
          <w:p w14:paraId="4FA043E5"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Bagging Tree</w:t>
            </w:r>
          </w:p>
        </w:tc>
        <w:tc>
          <w:tcPr>
            <w:tcW w:w="1768" w:type="dxa"/>
          </w:tcPr>
          <w:p w14:paraId="52598015"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0.855</w:t>
            </w:r>
          </w:p>
        </w:tc>
        <w:tc>
          <w:tcPr>
            <w:tcW w:w="1768" w:type="dxa"/>
          </w:tcPr>
          <w:p w14:paraId="4E9381F1"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0.78</w:t>
            </w:r>
          </w:p>
        </w:tc>
        <w:tc>
          <w:tcPr>
            <w:tcW w:w="1768" w:type="dxa"/>
          </w:tcPr>
          <w:p w14:paraId="0BECCC00"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0.75</w:t>
            </w:r>
          </w:p>
        </w:tc>
      </w:tr>
    </w:tbl>
    <w:p w14:paraId="3762CFA3" w14:textId="77777777" w:rsidR="00814E32" w:rsidRDefault="00814E32"/>
    <w:p w14:paraId="64C46AD7" w14:textId="77777777" w:rsidR="00814E32" w:rsidRPr="007809FB" w:rsidRDefault="00000000">
      <w:pPr>
        <w:spacing w:before="240" w:after="80"/>
        <w:rPr>
          <w:lang w:val="es-MX"/>
        </w:rPr>
      </w:pPr>
      <w:r w:rsidRPr="007809FB">
        <w:rPr>
          <w:b/>
          <w:lang w:val="es-MX"/>
        </w:rPr>
        <w:t>4.6 Análisis Top-K: selección de características guiada por el modelo</w:t>
      </w:r>
    </w:p>
    <w:p w14:paraId="5E43B702" w14:textId="77777777" w:rsidR="00814E32" w:rsidRPr="007809FB" w:rsidRDefault="00000000">
      <w:pPr>
        <w:ind w:firstLine="720"/>
        <w:jc w:val="both"/>
        <w:rPr>
          <w:lang w:val="es-MX"/>
        </w:rPr>
      </w:pPr>
      <w:r w:rsidRPr="007809FB">
        <w:rPr>
          <w:lang w:val="es-MX"/>
        </w:rPr>
        <w:t xml:space="preserve">Como análisis complementario, se evaluó una estrategia basada en la importancia de variables obtenida del modelo entrenado con todas las características disponibles. A </w:t>
      </w:r>
      <w:r w:rsidRPr="007809FB">
        <w:rPr>
          <w:lang w:val="es-MX"/>
        </w:rPr>
        <w:lastRenderedPageBreak/>
        <w:t>diferencia de la selección por filtrado mediante Información Mutua y ANOVA (Sección 3.3), esta aproximación permite identificar las variables consideradas más relevantes por el propio modelo durante el proceso de aprendizaje. Esta estrategia corresponde a un enfoque de selección de características guiado por el modelo (</w:t>
      </w:r>
      <w:proofErr w:type="spellStart"/>
      <w:r w:rsidRPr="007809FB">
        <w:rPr>
          <w:lang w:val="es-MX"/>
        </w:rPr>
        <w:t>model-based</w:t>
      </w:r>
      <w:proofErr w:type="spellEnd"/>
      <w:r w:rsidRPr="007809FB">
        <w:rPr>
          <w:lang w:val="es-MX"/>
        </w:rPr>
        <w:t xml:space="preserve"> </w:t>
      </w:r>
      <w:proofErr w:type="spellStart"/>
      <w:r w:rsidRPr="007809FB">
        <w:rPr>
          <w:lang w:val="es-MX"/>
        </w:rPr>
        <w:t>feature</w:t>
      </w:r>
      <w:proofErr w:type="spellEnd"/>
      <w:r w:rsidRPr="007809FB">
        <w:rPr>
          <w:lang w:val="es-MX"/>
        </w:rPr>
        <w:t xml:space="preserve"> </w:t>
      </w:r>
      <w:proofErr w:type="spellStart"/>
      <w:r w:rsidRPr="007809FB">
        <w:rPr>
          <w:lang w:val="es-MX"/>
        </w:rPr>
        <w:t>selection</w:t>
      </w:r>
      <w:proofErr w:type="spellEnd"/>
      <w:r w:rsidRPr="007809FB">
        <w:rPr>
          <w:lang w:val="es-MX"/>
        </w:rPr>
        <w:t xml:space="preserve">), donde la importancia por impureza media del </w:t>
      </w:r>
      <w:proofErr w:type="spellStart"/>
      <w:r w:rsidRPr="007809FB">
        <w:rPr>
          <w:lang w:val="es-MX"/>
        </w:rPr>
        <w:t>Bagging</w:t>
      </w:r>
      <w:proofErr w:type="spellEnd"/>
      <w:r w:rsidRPr="007809FB">
        <w:rPr>
          <w:lang w:val="es-MX"/>
        </w:rPr>
        <w:t xml:space="preserve"> Tree determina el ranking de variables.</w:t>
      </w:r>
    </w:p>
    <w:p w14:paraId="66D0C00F" w14:textId="77777777" w:rsidR="00814E32" w:rsidRPr="007809FB" w:rsidRDefault="00000000">
      <w:pPr>
        <w:ind w:firstLine="720"/>
        <w:jc w:val="both"/>
        <w:rPr>
          <w:lang w:val="es-MX"/>
        </w:rPr>
      </w:pPr>
      <w:r w:rsidRPr="007809FB">
        <w:rPr>
          <w:lang w:val="es-MX"/>
        </w:rPr>
        <w:t xml:space="preserve">El modelo </w:t>
      </w:r>
      <w:proofErr w:type="spellStart"/>
      <w:r w:rsidRPr="007809FB">
        <w:rPr>
          <w:lang w:val="es-MX"/>
        </w:rPr>
        <w:t>Bagging</w:t>
      </w:r>
      <w:proofErr w:type="spellEnd"/>
      <w:r w:rsidRPr="007809FB">
        <w:rPr>
          <w:lang w:val="es-MX"/>
        </w:rPr>
        <w:t xml:space="preserve"> Tree entrenado con </w:t>
      </w:r>
      <w:proofErr w:type="spellStart"/>
      <w:r w:rsidRPr="007809FB">
        <w:rPr>
          <w:lang w:val="es-MX"/>
        </w:rPr>
        <w:t>X_full</w:t>
      </w:r>
      <w:proofErr w:type="spellEnd"/>
      <w:r w:rsidRPr="007809FB">
        <w:rPr>
          <w:lang w:val="es-MX"/>
        </w:rPr>
        <w:t xml:space="preserve"> (131 variables) alcanzó un </w:t>
      </w:r>
      <w:proofErr w:type="spellStart"/>
      <w:r w:rsidRPr="007809FB">
        <w:rPr>
          <w:lang w:val="es-MX"/>
        </w:rPr>
        <w:t>recall</w:t>
      </w:r>
      <w:proofErr w:type="spellEnd"/>
      <w:r w:rsidRPr="007809FB">
        <w:rPr>
          <w:lang w:val="es-MX"/>
        </w:rPr>
        <w:t xml:space="preserve"> de AA de 0.833, superior al 0.750 obtenido con </w:t>
      </w:r>
      <w:proofErr w:type="spellStart"/>
      <w:r w:rsidRPr="007809FB">
        <w:rPr>
          <w:lang w:val="es-MX"/>
        </w:rPr>
        <w:t>X_intersect</w:t>
      </w:r>
      <w:proofErr w:type="spellEnd"/>
      <w:r w:rsidRPr="007809FB">
        <w:rPr>
          <w:lang w:val="es-MX"/>
        </w:rPr>
        <w:t xml:space="preserve">. Para evaluar si esta mejora podía concentrarse en un subconjunto reducido, se seleccionaron los Top-10, Top-15, Top-20 y Top-30 variables según la importancia del modelo y se evaluaron en el conjunto </w:t>
      </w:r>
      <w:proofErr w:type="spellStart"/>
      <w:r w:rsidRPr="007809FB">
        <w:rPr>
          <w:lang w:val="es-MX"/>
        </w:rPr>
        <w:t>held-out</w:t>
      </w:r>
      <w:proofErr w:type="spellEnd"/>
      <w:r w:rsidRPr="007809FB">
        <w:rPr>
          <w:lang w:val="es-MX"/>
        </w:rPr>
        <w:t xml:space="preserve"> (Tabla 10).</w:t>
      </w:r>
    </w:p>
    <w:p w14:paraId="7164F4B6" w14:textId="77777777" w:rsidR="00814E32" w:rsidRPr="007809FB" w:rsidRDefault="00000000">
      <w:pPr>
        <w:spacing w:before="240"/>
        <w:rPr>
          <w:lang w:val="es-MX"/>
        </w:rPr>
      </w:pPr>
      <w:r w:rsidRPr="007809FB">
        <w:rPr>
          <w:b/>
          <w:sz w:val="20"/>
          <w:lang w:val="es-MX"/>
        </w:rPr>
        <w:t>Tabla 10. Análisis Top-K: rendimiento con subconjuntos de variables seleccionadas por el modelo.</w:t>
      </w:r>
    </w:p>
    <w:tbl>
      <w:tblPr>
        <w:tblStyle w:val="Cuadrculaclara-nfasis1"/>
        <w:tblW w:w="0" w:type="auto"/>
        <w:jc w:val="center"/>
        <w:tblLook w:val="04A0" w:firstRow="1" w:lastRow="0" w:firstColumn="1" w:lastColumn="0" w:noHBand="0" w:noVBand="1"/>
      </w:tblPr>
      <w:tblGrid>
        <w:gridCol w:w="1768"/>
        <w:gridCol w:w="1768"/>
        <w:gridCol w:w="1768"/>
        <w:gridCol w:w="1768"/>
        <w:gridCol w:w="1768"/>
      </w:tblGrid>
      <w:tr w:rsidR="00814E32" w14:paraId="02551902" w14:textId="77777777" w:rsidTr="00814E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490CCE39" w14:textId="77777777" w:rsidR="00814E32" w:rsidRDefault="00000000">
            <w:proofErr w:type="spellStart"/>
            <w:r>
              <w:rPr>
                <w:sz w:val="20"/>
              </w:rPr>
              <w:t>Configuración</w:t>
            </w:r>
            <w:proofErr w:type="spellEnd"/>
          </w:p>
        </w:tc>
        <w:tc>
          <w:tcPr>
            <w:tcW w:w="1768" w:type="dxa"/>
          </w:tcPr>
          <w:p w14:paraId="0B502DF6"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n variables</w:t>
            </w:r>
          </w:p>
        </w:tc>
        <w:tc>
          <w:tcPr>
            <w:tcW w:w="1768" w:type="dxa"/>
          </w:tcPr>
          <w:p w14:paraId="1DFFF443"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F1 Macro</w:t>
            </w:r>
          </w:p>
        </w:tc>
        <w:tc>
          <w:tcPr>
            <w:tcW w:w="1768" w:type="dxa"/>
          </w:tcPr>
          <w:p w14:paraId="7F4A6329"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F1 AA</w:t>
            </w:r>
          </w:p>
        </w:tc>
        <w:tc>
          <w:tcPr>
            <w:tcW w:w="1768" w:type="dxa"/>
          </w:tcPr>
          <w:p w14:paraId="63CB1E45" w14:textId="77777777" w:rsidR="00814E32" w:rsidRDefault="00000000">
            <w:pPr>
              <w:cnfStyle w:val="100000000000" w:firstRow="1" w:lastRow="0" w:firstColumn="0" w:lastColumn="0" w:oddVBand="0" w:evenVBand="0" w:oddHBand="0" w:evenHBand="0" w:firstRowFirstColumn="0" w:firstRowLastColumn="0" w:lastRowFirstColumn="0" w:lastRowLastColumn="0"/>
            </w:pPr>
            <w:r>
              <w:rPr>
                <w:sz w:val="20"/>
              </w:rPr>
              <w:t>Recall AA</w:t>
            </w:r>
          </w:p>
        </w:tc>
      </w:tr>
      <w:tr w:rsidR="00814E32" w14:paraId="3A15B738"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15AD1056" w14:textId="77777777" w:rsidR="00814E32" w:rsidRDefault="00000000">
            <w:r>
              <w:rPr>
                <w:sz w:val="20"/>
              </w:rPr>
              <w:t>X_intersect (modelo final)</w:t>
            </w:r>
          </w:p>
        </w:tc>
        <w:tc>
          <w:tcPr>
            <w:tcW w:w="1768" w:type="dxa"/>
          </w:tcPr>
          <w:p w14:paraId="2B5865F9"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16</w:t>
            </w:r>
          </w:p>
        </w:tc>
        <w:tc>
          <w:tcPr>
            <w:tcW w:w="1768" w:type="dxa"/>
          </w:tcPr>
          <w:p w14:paraId="794CCACF"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0.855</w:t>
            </w:r>
          </w:p>
        </w:tc>
        <w:tc>
          <w:tcPr>
            <w:tcW w:w="1768" w:type="dxa"/>
          </w:tcPr>
          <w:p w14:paraId="120D60BC"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0.783</w:t>
            </w:r>
          </w:p>
        </w:tc>
        <w:tc>
          <w:tcPr>
            <w:tcW w:w="1768" w:type="dxa"/>
          </w:tcPr>
          <w:p w14:paraId="2644D7C0"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0.750</w:t>
            </w:r>
          </w:p>
        </w:tc>
      </w:tr>
      <w:tr w:rsidR="00814E32" w14:paraId="215A2A0B"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6E22AA58" w14:textId="77777777" w:rsidR="00814E32" w:rsidRDefault="00000000">
            <w:r>
              <w:rPr>
                <w:sz w:val="20"/>
              </w:rPr>
              <w:t>X_full</w:t>
            </w:r>
          </w:p>
        </w:tc>
        <w:tc>
          <w:tcPr>
            <w:tcW w:w="1768" w:type="dxa"/>
          </w:tcPr>
          <w:p w14:paraId="42EDEB5A"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131</w:t>
            </w:r>
          </w:p>
        </w:tc>
        <w:tc>
          <w:tcPr>
            <w:tcW w:w="1768" w:type="dxa"/>
          </w:tcPr>
          <w:p w14:paraId="3C6ABF6D"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0.839</w:t>
            </w:r>
          </w:p>
        </w:tc>
        <w:tc>
          <w:tcPr>
            <w:tcW w:w="1768" w:type="dxa"/>
          </w:tcPr>
          <w:p w14:paraId="663E895E"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0.833</w:t>
            </w:r>
          </w:p>
        </w:tc>
        <w:tc>
          <w:tcPr>
            <w:tcW w:w="1768" w:type="dxa"/>
          </w:tcPr>
          <w:p w14:paraId="0828D403"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0.833</w:t>
            </w:r>
          </w:p>
        </w:tc>
      </w:tr>
      <w:tr w:rsidR="00814E32" w14:paraId="7BFABF52"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1B0BAF41" w14:textId="77777777" w:rsidR="00814E32" w:rsidRDefault="00000000">
            <w:r>
              <w:rPr>
                <w:sz w:val="20"/>
              </w:rPr>
              <w:t>X_full Top-15</w:t>
            </w:r>
          </w:p>
        </w:tc>
        <w:tc>
          <w:tcPr>
            <w:tcW w:w="1768" w:type="dxa"/>
          </w:tcPr>
          <w:p w14:paraId="2A4F207D"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c>
          <w:tcPr>
            <w:tcW w:w="1768" w:type="dxa"/>
          </w:tcPr>
          <w:p w14:paraId="389E2703"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0.839</w:t>
            </w:r>
          </w:p>
        </w:tc>
        <w:tc>
          <w:tcPr>
            <w:tcW w:w="1768" w:type="dxa"/>
          </w:tcPr>
          <w:p w14:paraId="264B827F"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0.833</w:t>
            </w:r>
          </w:p>
        </w:tc>
        <w:tc>
          <w:tcPr>
            <w:tcW w:w="1768" w:type="dxa"/>
          </w:tcPr>
          <w:p w14:paraId="39DA04E6"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0.833</w:t>
            </w:r>
          </w:p>
        </w:tc>
      </w:tr>
      <w:tr w:rsidR="00814E32" w14:paraId="263B69F8" w14:textId="77777777" w:rsidTr="00814E3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5D8AAFD6" w14:textId="77777777" w:rsidR="00814E32" w:rsidRDefault="00000000">
            <w:r>
              <w:rPr>
                <w:sz w:val="20"/>
              </w:rPr>
              <w:t>X_full Top-20</w:t>
            </w:r>
          </w:p>
        </w:tc>
        <w:tc>
          <w:tcPr>
            <w:tcW w:w="1768" w:type="dxa"/>
          </w:tcPr>
          <w:p w14:paraId="2C88991B"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20</w:t>
            </w:r>
          </w:p>
        </w:tc>
        <w:tc>
          <w:tcPr>
            <w:tcW w:w="1768" w:type="dxa"/>
          </w:tcPr>
          <w:p w14:paraId="0F667E06"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0.836</w:t>
            </w:r>
          </w:p>
        </w:tc>
        <w:tc>
          <w:tcPr>
            <w:tcW w:w="1768" w:type="dxa"/>
          </w:tcPr>
          <w:p w14:paraId="69FD5E28"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0.800</w:t>
            </w:r>
          </w:p>
        </w:tc>
        <w:tc>
          <w:tcPr>
            <w:tcW w:w="1768" w:type="dxa"/>
          </w:tcPr>
          <w:p w14:paraId="3812044A" w14:textId="77777777" w:rsidR="00814E32" w:rsidRDefault="00000000">
            <w:pPr>
              <w:cnfStyle w:val="000000010000" w:firstRow="0" w:lastRow="0" w:firstColumn="0" w:lastColumn="0" w:oddVBand="0" w:evenVBand="0" w:oddHBand="0" w:evenHBand="1" w:firstRowFirstColumn="0" w:firstRowLastColumn="0" w:lastRowFirstColumn="0" w:lastRowLastColumn="0"/>
            </w:pPr>
            <w:r>
              <w:rPr>
                <w:sz w:val="20"/>
              </w:rPr>
              <w:t>0.833</w:t>
            </w:r>
          </w:p>
        </w:tc>
      </w:tr>
      <w:tr w:rsidR="00814E32" w14:paraId="113FB921" w14:textId="77777777" w:rsidTr="00814E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68" w:type="dxa"/>
          </w:tcPr>
          <w:p w14:paraId="505D15D3" w14:textId="77777777" w:rsidR="00814E32" w:rsidRDefault="00000000">
            <w:r>
              <w:rPr>
                <w:sz w:val="20"/>
              </w:rPr>
              <w:t>X_full Top-10</w:t>
            </w:r>
          </w:p>
        </w:tc>
        <w:tc>
          <w:tcPr>
            <w:tcW w:w="1768" w:type="dxa"/>
          </w:tcPr>
          <w:p w14:paraId="1E1B2B7A"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1768" w:type="dxa"/>
          </w:tcPr>
          <w:p w14:paraId="135FA969"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0.821</w:t>
            </w:r>
          </w:p>
        </w:tc>
        <w:tc>
          <w:tcPr>
            <w:tcW w:w="1768" w:type="dxa"/>
          </w:tcPr>
          <w:p w14:paraId="57F2DC90"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0.870</w:t>
            </w:r>
          </w:p>
        </w:tc>
        <w:tc>
          <w:tcPr>
            <w:tcW w:w="1768" w:type="dxa"/>
          </w:tcPr>
          <w:p w14:paraId="1B045BBA" w14:textId="77777777" w:rsidR="00814E32" w:rsidRDefault="00000000">
            <w:pPr>
              <w:cnfStyle w:val="000000100000" w:firstRow="0" w:lastRow="0" w:firstColumn="0" w:lastColumn="0" w:oddVBand="0" w:evenVBand="0" w:oddHBand="1" w:evenHBand="0" w:firstRowFirstColumn="0" w:firstRowLastColumn="0" w:lastRowFirstColumn="0" w:lastRowLastColumn="0"/>
            </w:pPr>
            <w:r>
              <w:rPr>
                <w:sz w:val="20"/>
              </w:rPr>
              <w:t>0.870</w:t>
            </w:r>
          </w:p>
        </w:tc>
      </w:tr>
    </w:tbl>
    <w:p w14:paraId="54ADD033" w14:textId="77777777" w:rsidR="00814E32" w:rsidRDefault="00814E32"/>
    <w:p w14:paraId="2B190A9F" w14:textId="77777777" w:rsidR="00814E32" w:rsidRPr="007809FB" w:rsidRDefault="00000000">
      <w:pPr>
        <w:ind w:firstLine="720"/>
        <w:jc w:val="both"/>
        <w:rPr>
          <w:lang w:val="es-MX"/>
        </w:rPr>
      </w:pPr>
      <w:r w:rsidRPr="007809FB">
        <w:rPr>
          <w:lang w:val="es-MX"/>
        </w:rPr>
        <w:t xml:space="preserve">El subconjunto Top-15 conservó el mismo </w:t>
      </w:r>
      <w:proofErr w:type="spellStart"/>
      <w:r w:rsidRPr="007809FB">
        <w:rPr>
          <w:lang w:val="es-MX"/>
        </w:rPr>
        <w:t>recall</w:t>
      </w:r>
      <w:proofErr w:type="spellEnd"/>
      <w:r w:rsidRPr="007809FB">
        <w:rPr>
          <w:lang w:val="es-MX"/>
        </w:rPr>
        <w:t xml:space="preserve"> de AA (0.833) y F1 de AA (0.833) que </w:t>
      </w:r>
      <w:proofErr w:type="spellStart"/>
      <w:r w:rsidRPr="007809FB">
        <w:rPr>
          <w:lang w:val="es-MX"/>
        </w:rPr>
        <w:t>X_full</w:t>
      </w:r>
      <w:proofErr w:type="spellEnd"/>
      <w:r w:rsidRPr="007809FB">
        <w:rPr>
          <w:lang w:val="es-MX"/>
        </w:rPr>
        <w:t xml:space="preserve"> completo, reduciendo la dimensionalidad en un 89%. Las 9 variables comunes entre </w:t>
      </w:r>
      <w:proofErr w:type="spellStart"/>
      <w:r w:rsidRPr="007809FB">
        <w:rPr>
          <w:lang w:val="es-MX"/>
        </w:rPr>
        <w:t>X_intersect</w:t>
      </w:r>
      <w:proofErr w:type="spellEnd"/>
      <w:r w:rsidRPr="007809FB">
        <w:rPr>
          <w:lang w:val="es-MX"/>
        </w:rPr>
        <w:t xml:space="preserve"> (selección por filtrado) y Top-15 (selección guiada por el modelo) constituyen el núcleo robusto de biomarcadores validados por dos estrategias de selección </w:t>
      </w:r>
      <w:r w:rsidRPr="007809FB">
        <w:rPr>
          <w:lang w:val="es-MX"/>
        </w:rPr>
        <w:lastRenderedPageBreak/>
        <w:t xml:space="preserve">independientes: </w:t>
      </w:r>
      <w:proofErr w:type="gramStart"/>
      <w:r w:rsidRPr="007809FB">
        <w:rPr>
          <w:lang w:val="es-MX"/>
        </w:rPr>
        <w:t>CE(</w:t>
      </w:r>
      <w:proofErr w:type="gramEnd"/>
      <w:r w:rsidRPr="007809FB">
        <w:rPr>
          <w:lang w:val="es-MX"/>
        </w:rPr>
        <w:t xml:space="preserve">20:5), </w:t>
      </w:r>
      <w:proofErr w:type="spellStart"/>
      <w:r w:rsidRPr="007809FB">
        <w:rPr>
          <w:lang w:val="es-MX"/>
        </w:rPr>
        <w:t>GlcCer</w:t>
      </w:r>
      <w:proofErr w:type="spellEnd"/>
      <w:r w:rsidRPr="007809FB">
        <w:rPr>
          <w:lang w:val="es-MX"/>
        </w:rPr>
        <w:t xml:space="preserve">(d18:1/24:0), </w:t>
      </w:r>
      <w:proofErr w:type="gramStart"/>
      <w:r w:rsidRPr="007809FB">
        <w:rPr>
          <w:lang w:val="es-MX"/>
        </w:rPr>
        <w:t>PC(</w:t>
      </w:r>
      <w:proofErr w:type="gramEnd"/>
      <w:r w:rsidRPr="007809FB">
        <w:rPr>
          <w:lang w:val="es-MX"/>
        </w:rPr>
        <w:t xml:space="preserve">36:5), PC(O-16:0/16:0), PC(O-16:0/18:2), </w:t>
      </w:r>
      <w:proofErr w:type="gramStart"/>
      <w:r w:rsidRPr="007809FB">
        <w:rPr>
          <w:lang w:val="es-MX"/>
        </w:rPr>
        <w:t>SM(</w:t>
      </w:r>
      <w:proofErr w:type="gramEnd"/>
      <w:r w:rsidRPr="007809FB">
        <w:rPr>
          <w:lang w:val="es-MX"/>
        </w:rPr>
        <w:t xml:space="preserve">33:1), </w:t>
      </w:r>
      <w:proofErr w:type="gramStart"/>
      <w:r w:rsidRPr="007809FB">
        <w:rPr>
          <w:lang w:val="es-MX"/>
        </w:rPr>
        <w:t>SM(</w:t>
      </w:r>
      <w:proofErr w:type="gramEnd"/>
      <w:r w:rsidRPr="007809FB">
        <w:rPr>
          <w:lang w:val="es-MX"/>
        </w:rPr>
        <w:t xml:space="preserve">42:3), </w:t>
      </w:r>
      <w:proofErr w:type="gramStart"/>
      <w:r w:rsidRPr="007809FB">
        <w:rPr>
          <w:lang w:val="es-MX"/>
        </w:rPr>
        <w:t>TG(</w:t>
      </w:r>
      <w:proofErr w:type="gramEnd"/>
      <w:r w:rsidRPr="007809FB">
        <w:rPr>
          <w:lang w:val="es-MX"/>
        </w:rPr>
        <w:t>51:4) y FIT.</w:t>
      </w:r>
    </w:p>
    <w:p w14:paraId="7AB94449" w14:textId="77777777" w:rsidR="00814E32" w:rsidRPr="007809FB" w:rsidRDefault="00000000">
      <w:pPr>
        <w:spacing w:before="360" w:after="120"/>
        <w:rPr>
          <w:lang w:val="es-MX"/>
        </w:rPr>
      </w:pPr>
      <w:r w:rsidRPr="007809FB">
        <w:rPr>
          <w:b/>
          <w:sz w:val="28"/>
          <w:lang w:val="es-MX"/>
        </w:rPr>
        <w:t>5. Discusión</w:t>
      </w:r>
    </w:p>
    <w:p w14:paraId="307D8C26" w14:textId="77777777" w:rsidR="00814E32" w:rsidRPr="007809FB" w:rsidRDefault="00000000">
      <w:pPr>
        <w:ind w:firstLine="720"/>
        <w:jc w:val="both"/>
        <w:rPr>
          <w:lang w:val="es-MX"/>
        </w:rPr>
      </w:pPr>
      <w:r w:rsidRPr="007809FB">
        <w:rPr>
          <w:lang w:val="es-MX"/>
        </w:rPr>
        <w:t xml:space="preserve">Los resultados de este estudio demuestran que los </w:t>
      </w:r>
      <w:proofErr w:type="spellStart"/>
      <w:r w:rsidRPr="007809FB">
        <w:rPr>
          <w:lang w:val="es-MX"/>
        </w:rPr>
        <w:t>ensembles</w:t>
      </w:r>
      <w:proofErr w:type="spellEnd"/>
      <w:r w:rsidRPr="007809FB">
        <w:rPr>
          <w:lang w:val="es-MX"/>
        </w:rPr>
        <w:t xml:space="preserve"> de árboles de decisión, aplicados a biomarcadores lipidómicos séricos, logran la clasificación efectiva de los tres estados de progresión del CCR, incluyendo la detección de adenomas avanzados donde los métodos </w:t>
      </w:r>
      <w:proofErr w:type="spellStart"/>
      <w:r w:rsidRPr="007809FB">
        <w:rPr>
          <w:lang w:val="es-MX"/>
        </w:rPr>
        <w:t>quimiométricos</w:t>
      </w:r>
      <w:proofErr w:type="spellEnd"/>
      <w:r w:rsidRPr="007809FB">
        <w:rPr>
          <w:lang w:val="es-MX"/>
        </w:rPr>
        <w:t xml:space="preserve"> convencionales fracasan. A </w:t>
      </w:r>
      <w:proofErr w:type="gramStart"/>
      <w:r w:rsidRPr="007809FB">
        <w:rPr>
          <w:lang w:val="es-MX"/>
        </w:rPr>
        <w:t>continuación</w:t>
      </w:r>
      <w:proofErr w:type="gramEnd"/>
      <w:r w:rsidRPr="007809FB">
        <w:rPr>
          <w:lang w:val="es-MX"/>
        </w:rPr>
        <w:t xml:space="preserve"> se discuten los hallazgos principales en el contexto de la literatura existente y sus implicaciones clínicas.</w:t>
      </w:r>
    </w:p>
    <w:p w14:paraId="5B76495F" w14:textId="77777777" w:rsidR="00814E32" w:rsidRPr="007809FB" w:rsidRDefault="00000000">
      <w:pPr>
        <w:spacing w:before="240" w:after="80"/>
        <w:rPr>
          <w:lang w:val="es-MX"/>
        </w:rPr>
      </w:pPr>
      <w:r w:rsidRPr="007809FB">
        <w:rPr>
          <w:b/>
          <w:lang w:val="es-MX"/>
        </w:rPr>
        <w:t>5.1 Superioridad del enfoque ensemble sobre métodos convencionales</w:t>
      </w:r>
    </w:p>
    <w:p w14:paraId="63E9AADC" w14:textId="77777777" w:rsidR="00814E32" w:rsidRPr="007809FB" w:rsidRDefault="00000000">
      <w:pPr>
        <w:ind w:firstLine="720"/>
        <w:jc w:val="both"/>
        <w:rPr>
          <w:lang w:val="es-MX"/>
        </w:rPr>
      </w:pPr>
      <w:r w:rsidRPr="007809FB">
        <w:rPr>
          <w:lang w:val="es-MX"/>
        </w:rPr>
        <w:t xml:space="preserve">El resultado más significativo clínicamente es la detección de adenomas avanzados con F1 = 0.78 y </w:t>
      </w:r>
      <w:proofErr w:type="spellStart"/>
      <w:r w:rsidRPr="007809FB">
        <w:rPr>
          <w:lang w:val="es-MX"/>
        </w:rPr>
        <w:t>recall</w:t>
      </w:r>
      <w:proofErr w:type="spellEnd"/>
      <w:r w:rsidRPr="007809FB">
        <w:rPr>
          <w:lang w:val="es-MX"/>
        </w:rPr>
        <w:t xml:space="preserve"> = 0.75. </w:t>
      </w:r>
      <w:proofErr w:type="spellStart"/>
      <w:r w:rsidRPr="007809FB">
        <w:rPr>
          <w:lang w:val="es-MX"/>
        </w:rPr>
        <w:t>Alboniga</w:t>
      </w:r>
      <w:proofErr w:type="spellEnd"/>
      <w:r w:rsidRPr="007809FB">
        <w:rPr>
          <w:lang w:val="es-MX"/>
        </w:rPr>
        <w:t xml:space="preserve"> et al. [8] reportaron F1 = 0 para la clase AA utilizando PLS-DA sobre los mismos datos. Esta diferencia se explica por la capacidad de los árboles de decisión para capturar interacciones no lineales entre lípidos, combinada con la reducción de varianza proporcionada por el mecanismo de </w:t>
      </w:r>
      <w:proofErr w:type="spellStart"/>
      <w:r w:rsidRPr="007809FB">
        <w:rPr>
          <w:lang w:val="es-MX"/>
        </w:rPr>
        <w:t>bagging</w:t>
      </w:r>
      <w:proofErr w:type="spellEnd"/>
      <w:r w:rsidRPr="007809FB">
        <w:rPr>
          <w:lang w:val="es-MX"/>
        </w:rPr>
        <w:t>. La agregación de 100 árboles entrenados con submuestras aleatorias (80% de muestras, 60% de variables) estabiliza las predicciones en una clase inherentemente heterogénea como AA, cuyos perfiles lipidómicos se solapan significativamente con los del grupo CCR.</w:t>
      </w:r>
    </w:p>
    <w:p w14:paraId="164CA299" w14:textId="77777777" w:rsidR="00814E32" w:rsidRPr="007809FB" w:rsidRDefault="00000000">
      <w:pPr>
        <w:ind w:firstLine="720"/>
        <w:jc w:val="both"/>
        <w:rPr>
          <w:lang w:val="es-MX"/>
        </w:rPr>
      </w:pPr>
      <w:r w:rsidRPr="007809FB">
        <w:rPr>
          <w:lang w:val="es-MX"/>
        </w:rPr>
        <w:t xml:space="preserve">La precisión de 1.00 en controles sanos en el conjunto </w:t>
      </w:r>
      <w:proofErr w:type="spellStart"/>
      <w:r w:rsidRPr="007809FB">
        <w:rPr>
          <w:lang w:val="es-MX"/>
        </w:rPr>
        <w:t>held-out</w:t>
      </w:r>
      <w:proofErr w:type="spellEnd"/>
      <w:r w:rsidRPr="007809FB">
        <w:rPr>
          <w:lang w:val="es-MX"/>
        </w:rPr>
        <w:t xml:space="preserve"> indica que el modelo no genera falsos positivos en individuos sanos, lo cual es relevante para programas de tamizaje donde las colonoscopias innecesarias representan un costo significativo. El AUC macro de 0.945 confirma una capacidad discriminatoria excelente a través de diferentes umbrales de decisión.</w:t>
      </w:r>
    </w:p>
    <w:p w14:paraId="150697E8" w14:textId="77777777" w:rsidR="00814E32" w:rsidRPr="007809FB" w:rsidRDefault="00000000">
      <w:pPr>
        <w:spacing w:before="240" w:after="80"/>
        <w:rPr>
          <w:lang w:val="es-MX"/>
        </w:rPr>
      </w:pPr>
      <w:r w:rsidRPr="007809FB">
        <w:rPr>
          <w:b/>
          <w:lang w:val="es-MX"/>
        </w:rPr>
        <w:lastRenderedPageBreak/>
        <w:t xml:space="preserve">5.2 Biomarcadores lipidómicos identificados y </w:t>
      </w:r>
      <w:proofErr w:type="spellStart"/>
      <w:r w:rsidRPr="007809FB">
        <w:rPr>
          <w:b/>
          <w:lang w:val="es-MX"/>
        </w:rPr>
        <w:t>explicabilidad</w:t>
      </w:r>
      <w:proofErr w:type="spellEnd"/>
      <w:r w:rsidRPr="007809FB">
        <w:rPr>
          <w:b/>
          <w:lang w:val="es-MX"/>
        </w:rPr>
        <w:t xml:space="preserve"> SHAP</w:t>
      </w:r>
    </w:p>
    <w:p w14:paraId="38FE6E55" w14:textId="77777777" w:rsidR="00814E32" w:rsidRPr="007809FB" w:rsidRDefault="00000000">
      <w:pPr>
        <w:ind w:firstLine="720"/>
        <w:jc w:val="both"/>
        <w:rPr>
          <w:lang w:val="es-MX"/>
        </w:rPr>
      </w:pPr>
      <w:proofErr w:type="gramStart"/>
      <w:r w:rsidRPr="007809FB">
        <w:rPr>
          <w:lang w:val="es-MX"/>
        </w:rPr>
        <w:t>CE(</w:t>
      </w:r>
      <w:proofErr w:type="gramEnd"/>
      <w:r w:rsidRPr="007809FB">
        <w:rPr>
          <w:lang w:val="es-MX"/>
        </w:rPr>
        <w:t xml:space="preserve">20:5) (éster de colesterol con ácido eicosapentaenoico) se confirma como el biomarcador con mayor contribución global tanto por importancia Gini como por SHAP. Este hallazgo tiene plausibilidad biológica: los ésteres de colesterol están implicados en la remodelación de membranas tumorales y los ácidos grasos omega-3, como el EPA (C20:5), participan en vías antiinflamatorias cuya desregulación está asociada a la carcinogénesis colorrectal [17,18]. La presencia de </w:t>
      </w:r>
      <w:proofErr w:type="gramStart"/>
      <w:r w:rsidRPr="007809FB">
        <w:rPr>
          <w:lang w:val="es-MX"/>
        </w:rPr>
        <w:t>CE(</w:t>
      </w:r>
      <w:proofErr w:type="gramEnd"/>
      <w:r w:rsidRPr="007809FB">
        <w:rPr>
          <w:lang w:val="es-MX"/>
        </w:rPr>
        <w:t xml:space="preserve">20:5) como biomarcador principal coincide con los hallazgos de </w:t>
      </w:r>
      <w:proofErr w:type="spellStart"/>
      <w:r w:rsidRPr="007809FB">
        <w:rPr>
          <w:lang w:val="es-MX"/>
        </w:rPr>
        <w:t>Alboniga</w:t>
      </w:r>
      <w:proofErr w:type="spellEnd"/>
      <w:r w:rsidRPr="007809FB">
        <w:rPr>
          <w:lang w:val="es-MX"/>
        </w:rPr>
        <w:t xml:space="preserve"> et al. [8], quienes lo reportaron entre los metabolitos más relevantes.</w:t>
      </w:r>
    </w:p>
    <w:p w14:paraId="13DB7E8F" w14:textId="77777777" w:rsidR="00814E32" w:rsidRPr="007809FB" w:rsidRDefault="00000000">
      <w:pPr>
        <w:ind w:firstLine="720"/>
        <w:jc w:val="both"/>
        <w:rPr>
          <w:lang w:val="es-MX"/>
        </w:rPr>
      </w:pPr>
      <w:r w:rsidRPr="007809FB">
        <w:rPr>
          <w:lang w:val="es-MX"/>
        </w:rPr>
        <w:t xml:space="preserve">El análisis SHAP aporta una dimensión que la importancia Gini no captura: la diferenciación del rol de cada biomarcador según la clase diagnóstica. El hallazgo de que PC(O-16:0/16:0) es el predictor principal para adenomas avanzados (y no </w:t>
      </w:r>
      <w:proofErr w:type="gramStart"/>
      <w:r w:rsidRPr="007809FB">
        <w:rPr>
          <w:lang w:val="es-MX"/>
        </w:rPr>
        <w:t>CE(</w:t>
      </w:r>
      <w:proofErr w:type="gramEnd"/>
      <w:r w:rsidRPr="007809FB">
        <w:rPr>
          <w:lang w:val="es-MX"/>
        </w:rPr>
        <w:t>20:5)) tiene implicaciones clínicas relevantes. Los éter-fosfolípidos (</w:t>
      </w:r>
      <w:proofErr w:type="spellStart"/>
      <w:r w:rsidRPr="007809FB">
        <w:rPr>
          <w:lang w:val="es-MX"/>
        </w:rPr>
        <w:t>plasmalógenos</w:t>
      </w:r>
      <w:proofErr w:type="spellEnd"/>
      <w:r w:rsidRPr="007809FB">
        <w:rPr>
          <w:lang w:val="es-MX"/>
        </w:rPr>
        <w:t xml:space="preserve">) </w:t>
      </w:r>
      <w:proofErr w:type="spellStart"/>
      <w:r w:rsidRPr="007809FB">
        <w:rPr>
          <w:lang w:val="es-MX"/>
        </w:rPr>
        <w:t>estan</w:t>
      </w:r>
      <w:proofErr w:type="spellEnd"/>
      <w:r w:rsidRPr="007809FB">
        <w:rPr>
          <w:lang w:val="es-MX"/>
        </w:rPr>
        <w:t xml:space="preserve"> involucrados en la protección contra el estrés oxidativo y la señalización celular; su alteración en la fase </w:t>
      </w:r>
      <w:proofErr w:type="spellStart"/>
      <w:r w:rsidRPr="007809FB">
        <w:rPr>
          <w:lang w:val="es-MX"/>
        </w:rPr>
        <w:t>pre-maligna</w:t>
      </w:r>
      <w:proofErr w:type="spellEnd"/>
      <w:r w:rsidRPr="007809FB">
        <w:rPr>
          <w:lang w:val="es-MX"/>
        </w:rPr>
        <w:t xml:space="preserve"> sugiere que la remodelación de la membrana celular precede a los cambios más pronunciados en el metabolismo del colesterol que caracterizan al cáncer confirmado [19].</w:t>
      </w:r>
    </w:p>
    <w:p w14:paraId="6692F8F5" w14:textId="77777777" w:rsidR="00814E32" w:rsidRPr="007809FB" w:rsidRDefault="00000000">
      <w:pPr>
        <w:ind w:firstLine="720"/>
        <w:jc w:val="both"/>
        <w:rPr>
          <w:lang w:val="es-MX"/>
        </w:rPr>
      </w:pPr>
      <w:r w:rsidRPr="007809FB">
        <w:rPr>
          <w:lang w:val="es-MX"/>
        </w:rPr>
        <w:t>La dominancia del FIT como predictor para CCR en el análisis SHAP es clínicamente coherente: el sangrado fecal detectable por FIT es una consecuencia directa de la neovascularización tumoral y la fragilidad vascular del carcinoma. Este resultado refuerza la complementariedad entre biomarcadores lipidómicos y pruebas clínicas estándar: los lípidos son más informativos para la detección de AA (donde el FIT falla), mientras que el FIT sigue siendo el mejor predictor individual para CCR confirmado.</w:t>
      </w:r>
    </w:p>
    <w:p w14:paraId="2F65B402" w14:textId="77777777" w:rsidR="00814E32" w:rsidRPr="007809FB" w:rsidRDefault="00000000">
      <w:pPr>
        <w:ind w:firstLine="720"/>
        <w:jc w:val="both"/>
        <w:rPr>
          <w:lang w:val="es-MX"/>
        </w:rPr>
      </w:pPr>
      <w:r w:rsidRPr="007809FB">
        <w:rPr>
          <w:lang w:val="es-MX"/>
        </w:rPr>
        <w:lastRenderedPageBreak/>
        <w:t>Las esfingomielinas (</w:t>
      </w:r>
      <w:proofErr w:type="gramStart"/>
      <w:r w:rsidRPr="007809FB">
        <w:rPr>
          <w:lang w:val="es-MX"/>
        </w:rPr>
        <w:t>SM(</w:t>
      </w:r>
      <w:proofErr w:type="gramEnd"/>
      <w:r w:rsidRPr="007809FB">
        <w:rPr>
          <w:lang w:val="es-MX"/>
        </w:rPr>
        <w:t xml:space="preserve">42:3), </w:t>
      </w:r>
      <w:proofErr w:type="gramStart"/>
      <w:r w:rsidRPr="007809FB">
        <w:rPr>
          <w:lang w:val="es-MX"/>
        </w:rPr>
        <w:t>SM(</w:t>
      </w:r>
      <w:proofErr w:type="gramEnd"/>
      <w:r w:rsidRPr="007809FB">
        <w:rPr>
          <w:lang w:val="es-MX"/>
        </w:rPr>
        <w:t xml:space="preserve">33:1)) y los éter-fosfolípidos (PC(O-16:0/16:0), PC(O-16:0/18:2)) representan familias lipídicas involucradas en la señalización celular y la resistencia a la apoptosis, procesos alterados en la progresión neoplásica [19]. La </w:t>
      </w:r>
      <w:proofErr w:type="spellStart"/>
      <w:r w:rsidRPr="007809FB">
        <w:rPr>
          <w:lang w:val="es-MX"/>
        </w:rPr>
        <w:t>explicabilidad</w:t>
      </w:r>
      <w:proofErr w:type="spellEnd"/>
      <w:r w:rsidRPr="007809FB">
        <w:rPr>
          <w:lang w:val="es-MX"/>
        </w:rPr>
        <w:t xml:space="preserve"> a nivel de paciente individual (Figuras 3-5) permite al clínico comprender los factores que impulsan cada predicción, facilitando la adopción del modelo como herramienta de apoyo a la decisión clínica.</w:t>
      </w:r>
    </w:p>
    <w:p w14:paraId="6BB784DE" w14:textId="77777777" w:rsidR="00814E32" w:rsidRPr="007809FB" w:rsidRDefault="00000000">
      <w:pPr>
        <w:spacing w:before="240" w:after="80"/>
        <w:rPr>
          <w:lang w:val="es-MX"/>
        </w:rPr>
      </w:pPr>
      <w:r w:rsidRPr="007809FB">
        <w:rPr>
          <w:b/>
          <w:lang w:val="es-MX"/>
        </w:rPr>
        <w:t>5.3 Implicaciones clínicas</w:t>
      </w:r>
    </w:p>
    <w:p w14:paraId="7A71382C" w14:textId="77777777" w:rsidR="00814E32" w:rsidRPr="007809FB" w:rsidRDefault="00000000">
      <w:pPr>
        <w:ind w:firstLine="720"/>
        <w:jc w:val="both"/>
        <w:rPr>
          <w:lang w:val="es-MX"/>
        </w:rPr>
      </w:pPr>
      <w:r w:rsidRPr="007809FB">
        <w:rPr>
          <w:lang w:val="es-MX"/>
        </w:rPr>
        <w:t xml:space="preserve">La combinación de biomarcadores lipidómicos con la prueba FIT tiene el potencial de mejorar significativamente los protocolos de tamizaje del CCR. Con el FIT como única herramienta, la sensibilidad para AA se estima entre 20-50% [4]. Nuestro modelo multimodal (lípidos + FIT) alcanzó </w:t>
      </w:r>
      <w:proofErr w:type="spellStart"/>
      <w:r w:rsidRPr="007809FB">
        <w:rPr>
          <w:lang w:val="es-MX"/>
        </w:rPr>
        <w:t>recall</w:t>
      </w:r>
      <w:proofErr w:type="spellEnd"/>
      <w:r w:rsidRPr="007809FB">
        <w:rPr>
          <w:lang w:val="es-MX"/>
        </w:rPr>
        <w:t xml:space="preserve"> de AA del 75%, una mejora sustancial. Un panel </w:t>
      </w:r>
      <w:proofErr w:type="spellStart"/>
      <w:r w:rsidRPr="007809FB">
        <w:rPr>
          <w:lang w:val="es-MX"/>
        </w:rPr>
        <w:t>lipidómico</w:t>
      </w:r>
      <w:proofErr w:type="spellEnd"/>
      <w:r w:rsidRPr="007809FB">
        <w:rPr>
          <w:lang w:val="es-MX"/>
        </w:rPr>
        <w:t xml:space="preserve"> dirigido (MRM/SRM) basado en los 9-15 biomarcadores identificados seria significativamente más económico que la metabolómica no dirigida y potencialmente viable para tamizaje poblacional a gran escala.</w:t>
      </w:r>
    </w:p>
    <w:p w14:paraId="6484F62E" w14:textId="77777777" w:rsidR="00814E32" w:rsidRPr="007809FB" w:rsidRDefault="00000000">
      <w:pPr>
        <w:spacing w:before="240" w:after="80"/>
        <w:rPr>
          <w:lang w:val="es-MX"/>
        </w:rPr>
      </w:pPr>
      <w:r w:rsidRPr="007809FB">
        <w:rPr>
          <w:b/>
          <w:lang w:val="es-MX"/>
        </w:rPr>
        <w:t>5.4 Limitaciones</w:t>
      </w:r>
    </w:p>
    <w:p w14:paraId="5BE528D6" w14:textId="77777777" w:rsidR="00814E32" w:rsidRPr="007809FB" w:rsidRDefault="00000000">
      <w:pPr>
        <w:ind w:firstLine="720"/>
        <w:jc w:val="both"/>
        <w:rPr>
          <w:lang w:val="es-MX"/>
        </w:rPr>
      </w:pPr>
      <w:r w:rsidRPr="007809FB">
        <w:rPr>
          <w:lang w:val="es-MX"/>
        </w:rPr>
        <w:t xml:space="preserve">Este estudio presenta varias limitaciones que deben considerarse. Primero, el tamaño muestral es limitado (n=211, test=43), lo que confiere varianza a las métricas </w:t>
      </w:r>
      <w:proofErr w:type="spellStart"/>
      <w:r w:rsidRPr="007809FB">
        <w:rPr>
          <w:lang w:val="es-MX"/>
        </w:rPr>
        <w:t>held-out</w:t>
      </w:r>
      <w:proofErr w:type="spellEnd"/>
      <w:r w:rsidRPr="007809FB">
        <w:rPr>
          <w:lang w:val="es-MX"/>
        </w:rPr>
        <w:t xml:space="preserve"> (estimada en +/- 0.02-0.05 F1). La estimación más conservadora del rendimiento externo es el F1 de validación cruzada (0.802), no el </w:t>
      </w:r>
      <w:proofErr w:type="spellStart"/>
      <w:r w:rsidRPr="007809FB">
        <w:rPr>
          <w:lang w:val="es-MX"/>
        </w:rPr>
        <w:t>held-out</w:t>
      </w:r>
      <w:proofErr w:type="spellEnd"/>
      <w:r w:rsidRPr="007809FB">
        <w:rPr>
          <w:lang w:val="es-MX"/>
        </w:rPr>
        <w:t xml:space="preserve"> (0.855). Segundo, la cohorte proviene de un único centro hospitalario (Ourense, España), lo que introduce potencial sesgo poblacional relacionado con dieta, genética y protocolos clínicos. Tercero, el modelo presenta sobreajuste en entrenamiento (Train F1 = 1.00), con una brecha </w:t>
      </w:r>
      <w:proofErr w:type="spellStart"/>
      <w:r w:rsidRPr="007809FB">
        <w:rPr>
          <w:lang w:val="es-MX"/>
        </w:rPr>
        <w:t>train</w:t>
      </w:r>
      <w:proofErr w:type="spellEnd"/>
      <w:r w:rsidRPr="007809FB">
        <w:rPr>
          <w:lang w:val="es-MX"/>
        </w:rPr>
        <w:t xml:space="preserve">-CV de ~0.20 </w:t>
      </w:r>
      <w:r w:rsidRPr="007809FB">
        <w:rPr>
          <w:lang w:val="es-MX"/>
        </w:rPr>
        <w:lastRenderedPageBreak/>
        <w:t xml:space="preserve">que podría reducirse mediante regularización adicional (limitación de </w:t>
      </w:r>
      <w:proofErr w:type="spellStart"/>
      <w:r w:rsidRPr="007809FB">
        <w:rPr>
          <w:lang w:val="es-MX"/>
        </w:rPr>
        <w:t>max_depth</w:t>
      </w:r>
      <w:proofErr w:type="spellEnd"/>
      <w:r w:rsidRPr="007809FB">
        <w:rPr>
          <w:lang w:val="es-MX"/>
        </w:rPr>
        <w:t xml:space="preserve">, incremento de </w:t>
      </w:r>
      <w:proofErr w:type="spellStart"/>
      <w:r w:rsidRPr="007809FB">
        <w:rPr>
          <w:lang w:val="es-MX"/>
        </w:rPr>
        <w:t>min_samples_leaf</w:t>
      </w:r>
      <w:proofErr w:type="spellEnd"/>
      <w:r w:rsidRPr="007809FB">
        <w:rPr>
          <w:lang w:val="es-MX"/>
        </w:rPr>
        <w:t xml:space="preserve">). Cuarto, el análisis Top-K se evaluó únicamente sobre el conjunto </w:t>
      </w:r>
      <w:proofErr w:type="spellStart"/>
      <w:r w:rsidRPr="007809FB">
        <w:rPr>
          <w:lang w:val="es-MX"/>
        </w:rPr>
        <w:t>held-out</w:t>
      </w:r>
      <w:proofErr w:type="spellEnd"/>
      <w:r w:rsidRPr="007809FB">
        <w:rPr>
          <w:lang w:val="es-MX"/>
        </w:rPr>
        <w:t xml:space="preserve"> sin validación cruzada anidada, por lo que debe interpretarse como evidencia exploratoria.</w:t>
      </w:r>
    </w:p>
    <w:p w14:paraId="015C89B0" w14:textId="77777777" w:rsidR="00814E32" w:rsidRPr="007809FB" w:rsidRDefault="00000000">
      <w:pPr>
        <w:spacing w:before="360" w:after="120"/>
        <w:rPr>
          <w:lang w:val="es-MX"/>
        </w:rPr>
      </w:pPr>
      <w:r w:rsidRPr="007809FB">
        <w:rPr>
          <w:b/>
          <w:sz w:val="28"/>
          <w:lang w:val="es-MX"/>
        </w:rPr>
        <w:t>6. Conclusiones</w:t>
      </w:r>
    </w:p>
    <w:p w14:paraId="561AE6A6" w14:textId="77777777" w:rsidR="00814E32" w:rsidRPr="007809FB" w:rsidRDefault="00000000">
      <w:pPr>
        <w:ind w:firstLine="720"/>
        <w:jc w:val="both"/>
        <w:rPr>
          <w:lang w:val="es-MX"/>
        </w:rPr>
      </w:pPr>
      <w:r w:rsidRPr="007809FB">
        <w:rPr>
          <w:lang w:val="es-MX"/>
        </w:rPr>
        <w:t xml:space="preserve">Este estudio demuestra que un pipeline de aprendizaje automático basado en </w:t>
      </w:r>
      <w:proofErr w:type="spellStart"/>
      <w:r w:rsidRPr="007809FB">
        <w:rPr>
          <w:lang w:val="es-MX"/>
        </w:rPr>
        <w:t>Bagging</w:t>
      </w:r>
      <w:proofErr w:type="spellEnd"/>
      <w:r w:rsidRPr="007809FB">
        <w:rPr>
          <w:lang w:val="es-MX"/>
        </w:rPr>
        <w:t xml:space="preserve"> Tree, aplicado a 16 biomarcadores lipidómicos y variables clínicas, permite la clasificación tripartita efectiva de la progresión del cáncer colorrectal (Control/AA/CCR) con F1 macro = 0.855 y AUC = 0.945. El hallazgo más relevante clínicamente es la detección de adenomas avanzados con F1 = 0.78, donde el método </w:t>
      </w:r>
      <w:proofErr w:type="spellStart"/>
      <w:r w:rsidRPr="007809FB">
        <w:rPr>
          <w:lang w:val="es-MX"/>
        </w:rPr>
        <w:t>quimiométrico</w:t>
      </w:r>
      <w:proofErr w:type="spellEnd"/>
      <w:r w:rsidRPr="007809FB">
        <w:rPr>
          <w:lang w:val="es-MX"/>
        </w:rPr>
        <w:t xml:space="preserve"> de referencia (PLS-DA) obtiene F1 = 0 sobre los mismos datos.</w:t>
      </w:r>
    </w:p>
    <w:p w14:paraId="610F539B" w14:textId="77777777" w:rsidR="00814E32" w:rsidRPr="007809FB" w:rsidRDefault="00000000">
      <w:pPr>
        <w:ind w:firstLine="720"/>
        <w:jc w:val="both"/>
        <w:rPr>
          <w:lang w:val="es-MX"/>
        </w:rPr>
      </w:pPr>
      <w:r w:rsidRPr="007809FB">
        <w:rPr>
          <w:lang w:val="es-MX"/>
        </w:rPr>
        <w:t xml:space="preserve">El análisis SHAP revela que los biomarcadores tienen roles diferenciados según la clase diagnóstica: PC(O-16:0/16:0) es el predictor principal para adenomas avanzados, FIT para cáncer confirmado, y </w:t>
      </w:r>
      <w:proofErr w:type="gramStart"/>
      <w:r w:rsidRPr="007809FB">
        <w:rPr>
          <w:lang w:val="es-MX"/>
        </w:rPr>
        <w:t>CE(</w:t>
      </w:r>
      <w:proofErr w:type="gramEnd"/>
      <w:r w:rsidRPr="007809FB">
        <w:rPr>
          <w:lang w:val="es-MX"/>
        </w:rPr>
        <w:t xml:space="preserve">20:5) para controles sanos. Esta diferenciación aporta </w:t>
      </w:r>
      <w:proofErr w:type="spellStart"/>
      <w:r w:rsidRPr="007809FB">
        <w:rPr>
          <w:lang w:val="es-MX"/>
        </w:rPr>
        <w:t>explicabilidad</w:t>
      </w:r>
      <w:proofErr w:type="spellEnd"/>
      <w:r w:rsidRPr="007809FB">
        <w:rPr>
          <w:lang w:val="es-MX"/>
        </w:rPr>
        <w:t xml:space="preserve"> clínica y sugiere que los mecanismos metabólicos subyacentes difieren entre las fases de progresión del CCR. La </w:t>
      </w:r>
      <w:proofErr w:type="spellStart"/>
      <w:r w:rsidRPr="007809FB">
        <w:rPr>
          <w:lang w:val="es-MX"/>
        </w:rPr>
        <w:t>explicabilidad</w:t>
      </w:r>
      <w:proofErr w:type="spellEnd"/>
      <w:r w:rsidRPr="007809FB">
        <w:rPr>
          <w:lang w:val="es-MX"/>
        </w:rPr>
        <w:t xml:space="preserve"> a nivel de paciente individual proporcionada por SHAP facilita la adopción clínica del modelo como herramienta de apoyo a la decisión.</w:t>
      </w:r>
    </w:p>
    <w:p w14:paraId="24075CCB" w14:textId="77777777" w:rsidR="00814E32" w:rsidRPr="007809FB" w:rsidRDefault="00000000">
      <w:pPr>
        <w:ind w:firstLine="720"/>
        <w:jc w:val="both"/>
        <w:rPr>
          <w:lang w:val="es-MX"/>
        </w:rPr>
      </w:pPr>
      <w:r w:rsidRPr="007809FB">
        <w:rPr>
          <w:lang w:val="es-MX"/>
        </w:rPr>
        <w:t xml:space="preserve">La intersección de 9 biomarcadores validados por dos estrategias de selección independientes (filtrado y guiada por el modelo) constituye un panel candidato para ensayos de espectrometría de masas dirigida (MRM/SRM), potencialmente viable para tamizaje poblacional como complemento al FIT. Los resultados validan que los perfiles </w:t>
      </w:r>
      <w:r w:rsidRPr="007809FB">
        <w:rPr>
          <w:lang w:val="es-MX"/>
        </w:rPr>
        <w:lastRenderedPageBreak/>
        <w:t>lipidómicos complementan, pero no reemplazan, las pruebas de tamizaje estándar. La implementación clínica requiere validación externa multicéntrica, aprobación ética y evaluación formal de costo-beneficio.</w:t>
      </w:r>
    </w:p>
    <w:p w14:paraId="497F9869" w14:textId="77777777" w:rsidR="00814E32" w:rsidRPr="007809FB" w:rsidRDefault="00000000">
      <w:pPr>
        <w:spacing w:before="360" w:after="120"/>
        <w:rPr>
          <w:lang w:val="es-MX"/>
        </w:rPr>
      </w:pPr>
      <w:r w:rsidRPr="007809FB">
        <w:rPr>
          <w:b/>
          <w:sz w:val="28"/>
          <w:lang w:val="es-MX"/>
        </w:rPr>
        <w:t>Declaraciones</w:t>
      </w:r>
    </w:p>
    <w:p w14:paraId="3F06C49E" w14:textId="77777777" w:rsidR="00814E32" w:rsidRPr="007809FB" w:rsidRDefault="00000000">
      <w:pPr>
        <w:spacing w:before="240" w:after="80"/>
        <w:rPr>
          <w:lang w:val="es-MX"/>
        </w:rPr>
      </w:pPr>
      <w:r w:rsidRPr="007809FB">
        <w:rPr>
          <w:b/>
          <w:lang w:val="es-MX"/>
        </w:rPr>
        <w:t>Declaración ética</w:t>
      </w:r>
    </w:p>
    <w:p w14:paraId="01B1BE63" w14:textId="77777777" w:rsidR="00814E32" w:rsidRPr="007809FB" w:rsidRDefault="00000000">
      <w:pPr>
        <w:jc w:val="both"/>
        <w:rPr>
          <w:lang w:val="es-MX"/>
        </w:rPr>
      </w:pPr>
      <w:r w:rsidRPr="007809FB">
        <w:rPr>
          <w:lang w:val="es-MX"/>
        </w:rPr>
        <w:t xml:space="preserve">Los datos utilizados en este estudio provienen del conjunto de datos publicado por </w:t>
      </w:r>
      <w:proofErr w:type="spellStart"/>
      <w:r w:rsidRPr="007809FB">
        <w:rPr>
          <w:lang w:val="es-MX"/>
        </w:rPr>
        <w:t>Alboniga</w:t>
      </w:r>
      <w:proofErr w:type="spellEnd"/>
      <w:r w:rsidRPr="007809FB">
        <w:rPr>
          <w:lang w:val="es-MX"/>
        </w:rPr>
        <w:t xml:space="preserve"> et al. [8], recopilado en el Hospital de Ourense (Galicia, España) bajo aprobación del comité de ética institucional correspondiente. [NOTA: Completar con número de referencia y fecha de la aprobación ética original, o declaración de uso de datos públicos según corresponda.]</w:t>
      </w:r>
    </w:p>
    <w:p w14:paraId="1AE19F67" w14:textId="77777777" w:rsidR="00814E32" w:rsidRPr="007809FB" w:rsidRDefault="00000000">
      <w:pPr>
        <w:spacing w:before="240" w:after="80"/>
        <w:rPr>
          <w:lang w:val="es-MX"/>
        </w:rPr>
      </w:pPr>
      <w:r w:rsidRPr="007809FB">
        <w:rPr>
          <w:b/>
          <w:lang w:val="es-MX"/>
        </w:rPr>
        <w:t>Disponibilidad de datos y código</w:t>
      </w:r>
    </w:p>
    <w:p w14:paraId="5CACF82D" w14:textId="77777777" w:rsidR="00814E32" w:rsidRPr="007809FB" w:rsidRDefault="00000000">
      <w:pPr>
        <w:jc w:val="both"/>
        <w:rPr>
          <w:lang w:val="es-MX"/>
        </w:rPr>
      </w:pPr>
      <w:r w:rsidRPr="007809FB">
        <w:rPr>
          <w:lang w:val="es-MX"/>
        </w:rPr>
        <w:t>El código fuente del pipeline completo, incluyendo el análisis SHAP, está disponible en [NOTA: incluir URL del repositorio GitHub]. [NOTA: Declarar la accesibilidad de los datos según corresponda.]</w:t>
      </w:r>
    </w:p>
    <w:p w14:paraId="72B9CB4F" w14:textId="77777777" w:rsidR="00814E32" w:rsidRPr="007809FB" w:rsidRDefault="00000000">
      <w:pPr>
        <w:spacing w:before="240" w:after="80"/>
        <w:rPr>
          <w:lang w:val="es-MX"/>
        </w:rPr>
      </w:pPr>
      <w:r w:rsidRPr="007809FB">
        <w:rPr>
          <w:b/>
          <w:lang w:val="es-MX"/>
        </w:rPr>
        <w:t>Financiamiento</w:t>
      </w:r>
    </w:p>
    <w:p w14:paraId="5CB9844B" w14:textId="77777777" w:rsidR="00814E32" w:rsidRPr="007809FB" w:rsidRDefault="00000000">
      <w:pPr>
        <w:jc w:val="both"/>
        <w:rPr>
          <w:lang w:val="es-MX"/>
        </w:rPr>
      </w:pPr>
      <w:r w:rsidRPr="007809FB">
        <w:rPr>
          <w:highlight w:val="yellow"/>
          <w:lang w:val="es-MX"/>
        </w:rPr>
        <w:t>[NOTA: Completar. Si no hubo financiamiento: Esta investigación no recibió financiamiento específico de ninguna agencia del sector público, comercial o sin ánimo de lucro.]</w:t>
      </w:r>
    </w:p>
    <w:p w14:paraId="54150EFB" w14:textId="77777777" w:rsidR="00814E32" w:rsidRPr="007809FB" w:rsidRDefault="00000000">
      <w:pPr>
        <w:spacing w:before="240" w:after="80"/>
        <w:rPr>
          <w:lang w:val="es-MX"/>
        </w:rPr>
      </w:pPr>
      <w:r w:rsidRPr="007809FB">
        <w:rPr>
          <w:b/>
          <w:lang w:val="es-MX"/>
        </w:rPr>
        <w:t>Conflicto de intereses</w:t>
      </w:r>
    </w:p>
    <w:p w14:paraId="46EC95F0" w14:textId="77777777" w:rsidR="00814E32" w:rsidRPr="007809FB" w:rsidRDefault="00000000">
      <w:pPr>
        <w:jc w:val="both"/>
        <w:rPr>
          <w:lang w:val="es-MX"/>
        </w:rPr>
      </w:pPr>
      <w:r w:rsidRPr="007809FB">
        <w:rPr>
          <w:lang w:val="es-MX"/>
        </w:rPr>
        <w:t>Los autores declaran no tener conflictos de intereses.</w:t>
      </w:r>
    </w:p>
    <w:p w14:paraId="7D410175" w14:textId="77777777" w:rsidR="00814E32" w:rsidRPr="007809FB" w:rsidRDefault="00000000">
      <w:pPr>
        <w:spacing w:before="240" w:after="80"/>
        <w:rPr>
          <w:lang w:val="es-MX"/>
        </w:rPr>
      </w:pPr>
      <w:r w:rsidRPr="007809FB">
        <w:rPr>
          <w:b/>
          <w:lang w:val="es-MX"/>
        </w:rPr>
        <w:lastRenderedPageBreak/>
        <w:t>Uso de inteligencia artificial generativa</w:t>
      </w:r>
    </w:p>
    <w:p w14:paraId="41E1ED93" w14:textId="77777777" w:rsidR="00814E32" w:rsidRPr="007809FB" w:rsidRDefault="00000000">
      <w:pPr>
        <w:jc w:val="both"/>
        <w:rPr>
          <w:lang w:val="es-MX"/>
        </w:rPr>
      </w:pPr>
      <w:r w:rsidRPr="007809FB">
        <w:rPr>
          <w:highlight w:val="yellow"/>
          <w:lang w:val="es-MX"/>
        </w:rPr>
        <w:t>[NOTA: Declarar cualquier herramienta de IA generativa utilizada en la preparación del manuscrito, incluyendo revisión de literatura, análisis de datos, generación de texto o figuras.]</w:t>
      </w:r>
    </w:p>
    <w:p w14:paraId="1363F4D9" w14:textId="77777777" w:rsidR="00814E32" w:rsidRPr="007809FB" w:rsidRDefault="00000000">
      <w:pPr>
        <w:spacing w:before="240" w:after="80"/>
        <w:rPr>
          <w:lang w:val="es-MX"/>
        </w:rPr>
      </w:pPr>
      <w:r w:rsidRPr="007809FB">
        <w:rPr>
          <w:b/>
          <w:lang w:val="es-MX"/>
        </w:rPr>
        <w:t>Contribución de los autores</w:t>
      </w:r>
    </w:p>
    <w:p w14:paraId="7CB4F781" w14:textId="77777777" w:rsidR="00814E32" w:rsidRPr="007809FB" w:rsidRDefault="00000000">
      <w:pPr>
        <w:jc w:val="both"/>
        <w:rPr>
          <w:lang w:val="es-MX"/>
        </w:rPr>
      </w:pPr>
      <w:r w:rsidRPr="007809FB">
        <w:rPr>
          <w:highlight w:val="yellow"/>
          <w:lang w:val="es-MX"/>
        </w:rPr>
        <w:t>[NOTA: Completar según la taxonomía CRediT: Conceptualización, Metodología, Software, Validación, Análisis formal, Investigación, Recursos, Curación de datos, Escritura - borrador original, Escritura - revisión y edición, Visualización, Supervisión, Administración del proyecto.]</w:t>
      </w:r>
    </w:p>
    <w:p w14:paraId="4588056D" w14:textId="77777777" w:rsidR="00814E32" w:rsidRDefault="00000000">
      <w:pPr>
        <w:spacing w:before="360" w:after="120"/>
      </w:pPr>
      <w:proofErr w:type="spellStart"/>
      <w:r>
        <w:rPr>
          <w:b/>
          <w:sz w:val="28"/>
        </w:rPr>
        <w:t>Referencias</w:t>
      </w:r>
      <w:proofErr w:type="spellEnd"/>
    </w:p>
    <w:p w14:paraId="0E45004A" w14:textId="77777777" w:rsidR="00814E32" w:rsidRDefault="00000000">
      <w:pPr>
        <w:spacing w:after="40"/>
        <w:ind w:left="283"/>
      </w:pPr>
      <w:r>
        <w:rPr>
          <w:sz w:val="20"/>
        </w:rPr>
        <w:t>[1] H. Sung, J. Ferlay, R.L. Siegel, et al., Global Cancer Statistics 2020: GLOBOCAN estimates of incidence and mortality worldwide for 36 cancers in 185 countries, CA Cancer J. Clin. 71 (2021) 209-249.</w:t>
      </w:r>
    </w:p>
    <w:p w14:paraId="0828DA9F" w14:textId="77777777" w:rsidR="00814E32" w:rsidRDefault="00000000">
      <w:pPr>
        <w:spacing w:after="40"/>
        <w:ind w:left="283"/>
      </w:pPr>
      <w:r>
        <w:rPr>
          <w:sz w:val="20"/>
        </w:rPr>
        <w:t>[2] E.R. Fearon, B. Vogelstein, A genetic model for colorectal tumorigenesis, Cell 61 (1990) 759-767.</w:t>
      </w:r>
    </w:p>
    <w:p w14:paraId="2257C108" w14:textId="77777777" w:rsidR="00814E32" w:rsidRDefault="00000000">
      <w:pPr>
        <w:spacing w:after="40"/>
        <w:ind w:left="283"/>
      </w:pPr>
      <w:r>
        <w:rPr>
          <w:sz w:val="20"/>
        </w:rPr>
        <w:t>[3] S.J. Winawer, A.G. Zauber, M.N. Ho, et al., Prevention of colorectal cancer by colonoscopic polypectomy, N. Engl. J. Med. 329 (1993) 1977-1981.</w:t>
      </w:r>
    </w:p>
    <w:p w14:paraId="1B951D62" w14:textId="77777777" w:rsidR="00814E32" w:rsidRDefault="00000000">
      <w:pPr>
        <w:spacing w:after="40"/>
        <w:ind w:left="283"/>
      </w:pPr>
      <w:r>
        <w:rPr>
          <w:sz w:val="20"/>
        </w:rPr>
        <w:t>[4] J.E. Allison, I.S. Tekawa, L.J. Ransom, A.L. Adrain, A comparison of fecal occult-blood tests for colorectal-cancer screening, N. Engl. J. Med. 334 (1996) 155-160.</w:t>
      </w:r>
    </w:p>
    <w:p w14:paraId="42950B66" w14:textId="77777777" w:rsidR="00814E32" w:rsidRDefault="00000000">
      <w:pPr>
        <w:spacing w:after="40"/>
        <w:ind w:left="283"/>
      </w:pPr>
      <w:r>
        <w:rPr>
          <w:sz w:val="20"/>
        </w:rPr>
        <w:t>[5] R.E. Schoen, P.F. Pinsky, J.L. Weissfeld, et al., Colorectal-cancer incidence and mortality with screening flexible sigmoidoscopy, N. Engl. J. Med. 366 (2012) 2345-2357.</w:t>
      </w:r>
    </w:p>
    <w:p w14:paraId="6AE316E1" w14:textId="77777777" w:rsidR="00814E32" w:rsidRDefault="00000000">
      <w:pPr>
        <w:spacing w:after="40"/>
        <w:ind w:left="283"/>
      </w:pPr>
      <w:r>
        <w:rPr>
          <w:sz w:val="20"/>
        </w:rPr>
        <w:t>[6] J. Ecker, G. Liebisch, M. Englmaier, M. Grandl, H. Robenek, G. Schmitz, Induction of fatty acid synthesis is a key requirement for phagocytic differentiation of human monocytes, Proc. Natl. Acad. Sci. U.S.A. 107 (2010) 7817-7822.</w:t>
      </w:r>
    </w:p>
    <w:p w14:paraId="24F192E0" w14:textId="77777777" w:rsidR="00814E32" w:rsidRDefault="00000000">
      <w:pPr>
        <w:spacing w:after="40"/>
        <w:ind w:left="283"/>
      </w:pPr>
      <w:r>
        <w:rPr>
          <w:sz w:val="20"/>
        </w:rPr>
        <w:t>[7] M.A. Fernandez-Garcia, M.L. Ruiz-Canela, M.A. Martinez-Gonzalez, Lipidomics in colorectal cancer biomarker research, J. Lipid Res. 62 (2021) 100090.</w:t>
      </w:r>
    </w:p>
    <w:p w14:paraId="629C6CD2" w14:textId="77777777" w:rsidR="00814E32" w:rsidRDefault="00000000">
      <w:pPr>
        <w:spacing w:after="40"/>
        <w:ind w:left="283"/>
      </w:pPr>
      <w:r>
        <w:rPr>
          <w:sz w:val="20"/>
        </w:rPr>
        <w:lastRenderedPageBreak/>
        <w:t>[8] O.E. Alboniga, J. Cubiella, L. Bujanda, P. Aspichueta, M.E. Blanco, B. Lanza, C. Alonso, J.M. Falcon-Perez, Metabolic signature in combination with fecal immunochemical test as a non-invasive tool for advanced colorectal neoplasia diagnosis, Cancers 17 (2025) 2339.</w:t>
      </w:r>
    </w:p>
    <w:p w14:paraId="26079F24" w14:textId="77777777" w:rsidR="00814E32" w:rsidRDefault="00000000">
      <w:pPr>
        <w:spacing w:after="40"/>
        <w:ind w:left="283"/>
      </w:pPr>
      <w:r>
        <w:rPr>
          <w:sz w:val="20"/>
        </w:rPr>
        <w:t>[9] L. Breiman, Random forests, Mach. Learn. 45 (2001) 5-32.</w:t>
      </w:r>
    </w:p>
    <w:p w14:paraId="0D70DC4E" w14:textId="77777777" w:rsidR="00814E32" w:rsidRDefault="00000000">
      <w:pPr>
        <w:spacing w:after="40"/>
        <w:ind w:left="283"/>
      </w:pPr>
      <w:r>
        <w:rPr>
          <w:sz w:val="20"/>
        </w:rPr>
        <w:t>[10] L. Breiman, Bagging predictors, Mach. Learn. 24 (1996) 123-140.</w:t>
      </w:r>
    </w:p>
    <w:p w14:paraId="3DC066F7" w14:textId="77777777" w:rsidR="00814E32" w:rsidRDefault="00000000">
      <w:pPr>
        <w:spacing w:after="40"/>
        <w:ind w:left="283"/>
      </w:pPr>
      <w:r>
        <w:rPr>
          <w:sz w:val="20"/>
        </w:rPr>
        <w:t>[11] S. Studer, T.B. Bui, C. Drescher, A. Hanuschkin, L. Winkler, S. Peters, K.R. Mueller, Towards CRISP-ML(Q): a machine learning process model with quality assurance methodology, Mach. Learn. Knowl. Extr. 3 (2021) 392-413.</w:t>
      </w:r>
    </w:p>
    <w:p w14:paraId="193AE846" w14:textId="77777777" w:rsidR="00814E32" w:rsidRDefault="00000000">
      <w:pPr>
        <w:spacing w:after="40"/>
        <w:ind w:left="283"/>
      </w:pPr>
      <w:r>
        <w:rPr>
          <w:sz w:val="20"/>
        </w:rPr>
        <w:t>[12] A. Bychkov, N. Hashimoto, M. Nojima, et al., Deep learning in pathology - an overview, Cytometry A 93 (2018) 917-929.</w:t>
      </w:r>
    </w:p>
    <w:p w14:paraId="03ED9768" w14:textId="77777777" w:rsidR="00814E32" w:rsidRDefault="00000000">
      <w:pPr>
        <w:spacing w:after="40"/>
        <w:ind w:left="283"/>
      </w:pPr>
      <w:r>
        <w:rPr>
          <w:sz w:val="20"/>
        </w:rPr>
        <w:t>[13] R. Dienstmann, L. Vermeulen, J. Guinney, S. Kopetz, S. Tejpar, J. Tabernero, Consensus molecular subtypes and the evolution of precision medicine in colorectal cancer, Nat. Rev. Cancer 17 (2017) 79-92.</w:t>
      </w:r>
    </w:p>
    <w:p w14:paraId="4CD61951" w14:textId="77777777" w:rsidR="00814E32" w:rsidRDefault="00000000">
      <w:pPr>
        <w:spacing w:after="40"/>
        <w:ind w:left="283"/>
      </w:pPr>
      <w:r>
        <w:rPr>
          <w:sz w:val="20"/>
        </w:rPr>
        <w:t>[14] F. Pedregosa, G. Varoquaux, A. Gramfort, et al., Scikit-learn: machine learning in Python, J. Mach. Learn. Res. 12 (2011) 2825-2830.</w:t>
      </w:r>
    </w:p>
    <w:p w14:paraId="4C961C88" w14:textId="77777777" w:rsidR="00814E32" w:rsidRDefault="00000000">
      <w:pPr>
        <w:spacing w:after="40"/>
        <w:ind w:left="283"/>
      </w:pPr>
      <w:r>
        <w:rPr>
          <w:sz w:val="20"/>
        </w:rPr>
        <w:t>[15] S. Nishiumi, T. Kobayashi, A. Ikeda, et al., A novel serum metabolomics-based diagnostic approach for colorectal cancer, PLoS ONE 7 (2012) e40459.</w:t>
      </w:r>
    </w:p>
    <w:p w14:paraId="35D15AA9" w14:textId="77777777" w:rsidR="00814E32" w:rsidRDefault="00000000">
      <w:pPr>
        <w:spacing w:after="40"/>
        <w:ind w:left="283"/>
      </w:pPr>
      <w:r>
        <w:rPr>
          <w:sz w:val="20"/>
        </w:rPr>
        <w:t>[16] F. Farshidfar, A.M. Weljie, K. Kopciuk, et al., Serum metabolomic profile as a means to distinguish stage of colorectal cancer, Genome Med. 4 (2012) 42.</w:t>
      </w:r>
    </w:p>
    <w:p w14:paraId="3B8FC349" w14:textId="77777777" w:rsidR="00814E32" w:rsidRDefault="00000000">
      <w:pPr>
        <w:spacing w:after="40"/>
        <w:ind w:left="283"/>
      </w:pPr>
      <w:r>
        <w:rPr>
          <w:sz w:val="20"/>
        </w:rPr>
        <w:t>[17] A. Ferreri, P. Ferroni, R. Palmirotta, et al., Cholesteryl ester transfer protein and colorectal cancer: a Mendelian randomization study, Cancer Epidemiol. Biomarkers Prev. 28 (2019) 2019-2025.</w:t>
      </w:r>
    </w:p>
    <w:p w14:paraId="1543A2B6" w14:textId="77777777" w:rsidR="00814E32" w:rsidRDefault="00000000">
      <w:pPr>
        <w:spacing w:after="40"/>
        <w:ind w:left="283"/>
      </w:pPr>
      <w:r>
        <w:rPr>
          <w:sz w:val="20"/>
        </w:rPr>
        <w:t>[18] R.J. Keogh, M.E. Courtney, A.J. Burn, et al., Omega-3 fatty acids and colorectal cancer prevention, Br. J. Cancer 113 (2015) 1056-1065.</w:t>
      </w:r>
    </w:p>
    <w:p w14:paraId="5EC5D5C4" w14:textId="77777777" w:rsidR="00814E32" w:rsidRDefault="00000000">
      <w:pPr>
        <w:spacing w:after="40"/>
        <w:ind w:left="283"/>
      </w:pPr>
      <w:r>
        <w:rPr>
          <w:sz w:val="20"/>
        </w:rPr>
        <w:t>[19] N. Morad, M. Cabot, Ceramide-orchestrated signaling in cancer cells, Nat. Rev. Cancer 13 (2013) 51-65.</w:t>
      </w:r>
    </w:p>
    <w:p w14:paraId="66A69C23" w14:textId="77777777" w:rsidR="00814E32" w:rsidRDefault="00000000">
      <w:pPr>
        <w:spacing w:after="40"/>
        <w:ind w:left="283"/>
      </w:pPr>
      <w:r>
        <w:rPr>
          <w:sz w:val="20"/>
        </w:rPr>
        <w:t>[20] S.M. Lundberg, S.I. Lee, A unified approach to interpreting model predictions, Adv. Neural Inf. Process. Syst. 30 (2017) 4765-4774.</w:t>
      </w:r>
    </w:p>
    <w:p w14:paraId="20C0E60D" w14:textId="77777777" w:rsidR="00814E32" w:rsidRDefault="00000000">
      <w:pPr>
        <w:spacing w:after="40"/>
        <w:ind w:left="283"/>
      </w:pPr>
      <w:r>
        <w:rPr>
          <w:sz w:val="20"/>
        </w:rPr>
        <w:lastRenderedPageBreak/>
        <w:t>[21] S.M. Lundberg, G. Erion, H. Chen, A. DeGrave, J.M. Prutkin, B. Nair, R. Katz, J. Himmelfarb, N. Bansal, S.I. Lee, From local explanations to global understanding with explainable AI for trees, Nat. Mach. Intell. 2 (2020) 56-67.</w:t>
      </w:r>
    </w:p>
    <w:sectPr w:rsidR="00814E32"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50582826">
    <w:abstractNumId w:val="8"/>
  </w:num>
  <w:num w:numId="2" w16cid:durableId="1738430999">
    <w:abstractNumId w:val="6"/>
  </w:num>
  <w:num w:numId="3" w16cid:durableId="1688873512">
    <w:abstractNumId w:val="5"/>
  </w:num>
  <w:num w:numId="4" w16cid:durableId="85343924">
    <w:abstractNumId w:val="4"/>
  </w:num>
  <w:num w:numId="5" w16cid:durableId="246695201">
    <w:abstractNumId w:val="7"/>
  </w:num>
  <w:num w:numId="6" w16cid:durableId="862548757">
    <w:abstractNumId w:val="3"/>
  </w:num>
  <w:num w:numId="7" w16cid:durableId="1380470418">
    <w:abstractNumId w:val="2"/>
  </w:num>
  <w:num w:numId="8" w16cid:durableId="569778683">
    <w:abstractNumId w:val="1"/>
  </w:num>
  <w:num w:numId="9" w16cid:durableId="545991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6265"/>
    <w:rsid w:val="007809FB"/>
    <w:rsid w:val="00814E3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6D1EB0"/>
  <w14:defaultImageDpi w14:val="300"/>
  <w15:docId w15:val="{99F13F90-1E2F-4BF4-BFCC-EA5B6AED8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29</Pages>
  <Words>5299</Words>
  <Characters>32486</Characters>
  <Application>Microsoft Office Word</Application>
  <DocSecurity>0</DocSecurity>
  <Lines>812</Lines>
  <Paragraphs>490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Virginia Mendizábal Miranda</cp:lastModifiedBy>
  <cp:revision>2</cp:revision>
  <dcterms:created xsi:type="dcterms:W3CDTF">2013-12-23T23:15:00Z</dcterms:created>
  <dcterms:modified xsi:type="dcterms:W3CDTF">2026-08-02T22:37:00Z</dcterms:modified>
  <cp:category/>
</cp:coreProperties>
</file>