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2j9xji173yw0" w:id="0"/>
      <w:bookmarkEnd w:id="0"/>
      <w:r w:rsidDel="00000000" w:rsidR="00000000" w:rsidRPr="00000000">
        <w:rPr>
          <w:rFonts w:ascii="Times New Roman" w:cs="Times New Roman" w:eastAsia="Times New Roman" w:hAnsi="Times New Roman"/>
          <w:b w:val="1"/>
          <w:bCs w:val="1"/>
          <w:sz w:val="34"/>
          <w:szCs w:val="34"/>
          <w:rtl w:val="0"/>
        </w:rPr>
        <w:t xml:space="preserve">ICT605 – Interactive Data Visualization and Simulation</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sdbfg4z6l16v" w:id="1"/>
      <w:bookmarkEnd w:id="1"/>
      <w:r w:rsidDel="00000000" w:rsidR="00000000" w:rsidRPr="00000000">
        <w:rPr>
          <w:rFonts w:ascii="Times New Roman" w:cs="Times New Roman" w:eastAsia="Times New Roman" w:hAnsi="Times New Roman"/>
          <w:b w:val="1"/>
          <w:bCs w:val="1"/>
          <w:sz w:val="34"/>
          <w:szCs w:val="34"/>
          <w:rtl w:val="0"/>
        </w:rPr>
        <w:t xml:space="preserve">Group Assignment</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m5fx65i0al9" w:id="2"/>
      <w:bookmarkEnd w:id="2"/>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bjznc5j304q" w:id="3"/>
      <w:bookmarkEnd w:id="3"/>
      <w:r w:rsidDel="00000000" w:rsidR="00000000" w:rsidRPr="00000000">
        <w:rPr>
          <w:rFonts w:ascii="Times New Roman" w:cs="Times New Roman" w:eastAsia="Times New Roman" w:hAnsi="Times New Roman"/>
          <w:b w:val="1"/>
          <w:bCs w:val="1"/>
          <w:sz w:val="34"/>
          <w:szCs w:val="34"/>
          <w:rtl w:val="0"/>
        </w:rPr>
        <w:t xml:space="preserve">1. Case, Problem, Value, and Audience</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5xdk3jpi805" w:id="4"/>
      <w:bookmarkEnd w:id="4"/>
      <w:r w:rsidDel="00000000" w:rsidR="00000000" w:rsidRPr="00000000">
        <w:rPr>
          <w:rFonts w:ascii="Times New Roman" w:cs="Times New Roman" w:eastAsia="Times New Roman" w:hAnsi="Times New Roman"/>
          <w:b w:val="1"/>
          <w:bCs w:val="1"/>
          <w:color w:val="000000"/>
          <w:sz w:val="26"/>
          <w:szCs w:val="26"/>
          <w:rtl w:val="0"/>
        </w:rPr>
        <w:t xml:space="preserve">Case and Context</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NSW Local Government Areas (LGAs) manage extensive road networks with limited infrastructure budgets, yet face persistent road trauma. In 2024, over 350 fatalities occurred on NSW roads, with thousands more serious injuries imposing substantial social and economic costs (Transport for NSW, 2024). Despite comprehensive historical crash data being available, this information remains largely descriptive and retrospective. Road safety planners currently rely on reactive approaches—prioritising locations based on historical crash counts rather than forward-looking risk assessments that account for the complex interplay of contributing factors such as weather, lighting, speed limits, and road type.</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crr7lyk7l49" w:id="5"/>
      <w:bookmarkEnd w:id="5"/>
      <w:r w:rsidDel="00000000" w:rsidR="00000000" w:rsidRPr="00000000">
        <w:rPr>
          <w:rFonts w:ascii="Times New Roman" w:cs="Times New Roman" w:eastAsia="Times New Roman" w:hAnsi="Times New Roman"/>
          <w:b w:val="1"/>
          <w:bCs w:val="1"/>
          <w:color w:val="000000"/>
          <w:sz w:val="26"/>
          <w:szCs w:val="26"/>
          <w:rtl w:val="0"/>
        </w:rPr>
        <w:t xml:space="preserve">Problem Definition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safety planners in NSW LGAs lack an accessible, evidence-based tool that predicts the likelihood of severe crashes (fatal or injury) for specific road segments under varying conditions. Current decision-making is characterised by:</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Reactive prioritisation</w:t>
      </w:r>
      <w:r w:rsidDel="00000000" w:rsidR="00000000" w:rsidRPr="00000000">
        <w:rPr>
          <w:rFonts w:ascii="Times New Roman" w:cs="Times New Roman" w:eastAsia="Times New Roman" w:hAnsi="Times New Roman"/>
          <w:rtl w:val="0"/>
        </w:rPr>
        <w:t xml:space="preserve">: Investment decisions driven by historical crash counts rather than predictive risk modelling.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Limited multivariate analysis</w:t>
      </w:r>
      <w:r w:rsidDel="00000000" w:rsidR="00000000" w:rsidRPr="00000000">
        <w:rPr>
          <w:rFonts w:ascii="Times New Roman" w:cs="Times New Roman" w:eastAsia="Times New Roman" w:hAnsi="Times New Roman"/>
          <w:rtl w:val="0"/>
        </w:rPr>
        <w:t xml:space="preserve">: The combined effects of weather, lighting, speed limits, road type, and time of day are not systematically integrated into risk estimates.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Resource inefficiency</w:t>
      </w:r>
      <w:r w:rsidDel="00000000" w:rsidR="00000000" w:rsidRPr="00000000">
        <w:rPr>
          <w:rFonts w:ascii="Times New Roman" w:cs="Times New Roman" w:eastAsia="Times New Roman" w:hAnsi="Times New Roman"/>
          <w:rtl w:val="0"/>
        </w:rPr>
        <w:t xml:space="preserve">: Scarce infrastructure budgets are allocated without clear, data-driven understanding of where safety upgrades will deliver the greatest reduction in severe trauma.</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problem is worthwhile because it directly addresses preventable loss of life and serious injury, while offering a mechanism to maximise the impact of public infrastructure spending.</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qhb8y7obovl" w:id="6"/>
      <w:bookmarkEnd w:id="6"/>
      <w:r w:rsidDel="00000000" w:rsidR="00000000" w:rsidRPr="00000000">
        <w:rPr>
          <w:rFonts w:ascii="Times New Roman" w:cs="Times New Roman" w:eastAsia="Times New Roman" w:hAnsi="Times New Roman"/>
          <w:b w:val="1"/>
          <w:bCs w:val="1"/>
          <w:color w:val="000000"/>
          <w:sz w:val="26"/>
          <w:szCs w:val="26"/>
          <w:rtl w:val="0"/>
        </w:rPr>
        <w:t xml:space="preserve">Intended Users and Supported Decision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Users: Road Safety Planners and Transport Officers</w:t>
      </w:r>
      <w:r w:rsidDel="00000000" w:rsidR="00000000" w:rsidRPr="00000000">
        <w:rPr>
          <w:rFonts w:ascii="Times New Roman" w:cs="Times New Roman" w:eastAsia="Times New Roman" w:hAnsi="Times New Roman"/>
          <w:rtl w:val="0"/>
        </w:rPr>
        <w:t xml:space="preserve"> within NSW LGAs are responsible for developing road safety strategies, prioritising infrastructure upgrades, and justifying budget allocations. The system will support their decision-making by enabling them to:</w:t>
      </w:r>
    </w:p>
    <w:p w:rsidR="00000000" w:rsidDel="00000000" w:rsidP="00000000" w:rsidRDefault="00000000" w:rsidRPr="00000000" w14:paraId="0000000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road segments by predicted severity risk to identify high-priority locations.</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risk estimates across different conditions (wet vs. dry roads, daylight vs. night-time).</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budgets with confidence that investments target the highest-risk areas.</w:t>
      </w:r>
    </w:p>
    <w:p w:rsidR="00000000" w:rsidDel="00000000" w:rsidP="00000000" w:rsidRDefault="00000000" w:rsidRPr="00000000" w14:paraId="0000001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data-driven evidence to stakeholders.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Central Message</w:t>
      </w:r>
      <w:r w:rsidDel="00000000" w:rsidR="00000000" w:rsidRPr="00000000">
        <w:rPr>
          <w:rFonts w:ascii="Times New Roman" w:cs="Times New Roman" w:eastAsia="Times New Roman" w:hAnsi="Times New Roman"/>
          <w:rtl w:val="0"/>
        </w:rPr>
        <w:t xml:space="preserve">: Predictive severity-risk mapping enables proactive, evidence-based road safety investment, reducing severe trauma more effectively than reactive, count-based approaches.</w:t>
      </w:r>
    </w:p>
    <w:p w:rsidR="00000000" w:rsidDel="00000000" w:rsidP="00000000" w:rsidRDefault="00000000" w:rsidRPr="00000000" w14:paraId="00000014">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Intended Outcome</w:t>
      </w:r>
      <w:r w:rsidDel="00000000" w:rsidR="00000000" w:rsidRPr="00000000">
        <w:rPr>
          <w:rFonts w:ascii="Times New Roman" w:cs="Times New Roman" w:eastAsia="Times New Roman" w:hAnsi="Times New Roman"/>
          <w:highlight w:val="yellow"/>
          <w:rtl w:val="0"/>
        </w:rPr>
        <w:t xml:space="preserve">: A dynamic, interactive visualization that displays predicted crash severity risk for road segments across NSW LGAs, allowing users to explore risk estimates under varying conditions and prioritise locations for safety upgrades based on predictive risk rather than historical counts.</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jf25axq0yht" w:id="7"/>
      <w:bookmarkEnd w:id="7"/>
      <w:r w:rsidDel="00000000" w:rsidR="00000000" w:rsidRPr="00000000">
        <w:rPr>
          <w:rFonts w:ascii="Times New Roman" w:cs="Times New Roman" w:eastAsia="Times New Roman" w:hAnsi="Times New Roman"/>
          <w:b w:val="1"/>
          <w:bCs w:val="1"/>
          <w:color w:val="000000"/>
          <w:sz w:val="26"/>
          <w:szCs w:val="26"/>
          <w:rtl w:val="0"/>
        </w:rPr>
        <w:t xml:space="preserve">Why an AI-Enabled Approach Is Appropriate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AI-enabled approach is necessary because: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Multivariate and non-linear relationships</w:t>
      </w:r>
      <w:r w:rsidDel="00000000" w:rsidR="00000000" w:rsidRPr="00000000">
        <w:rPr>
          <w:rFonts w:ascii="Times New Roman" w:cs="Times New Roman" w:eastAsia="Times New Roman" w:hAnsi="Times New Roman"/>
          <w:rtl w:val="0"/>
        </w:rPr>
        <w:t xml:space="preserve">: The relationship between crash severity and contributing factors (speed limits, road type, weather, lighting, traffic volume, temporal patterns) is inherently complex and non-linear. Machine learning models such as random forests, gradient boosting, or neural networks are specifically designed to capture these high-dimensional interactions (Hastie et al., 2009).</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Predictive capability beyond descriptive visualisation</w:t>
      </w:r>
      <w:r w:rsidDel="00000000" w:rsidR="00000000" w:rsidRPr="00000000">
        <w:rPr>
          <w:rFonts w:ascii="Times New Roman" w:cs="Times New Roman" w:eastAsia="Times New Roman" w:hAnsi="Times New Roman"/>
          <w:rtl w:val="0"/>
        </w:rPr>
        <w:t xml:space="preserve">: While descriptive dashboards show where crashes have occurred historically, only AI can answer what </w:t>
      </w:r>
      <w:r w:rsidDel="00000000" w:rsidR="00000000" w:rsidRPr="00000000">
        <w:rPr>
          <w:rFonts w:ascii="Times New Roman" w:cs="Times New Roman" w:eastAsia="Times New Roman" w:hAnsi="Times New Roman"/>
          <w:i w:val="1"/>
          <w:iCs w:val="1"/>
          <w:rtl w:val="0"/>
        </w:rPr>
        <w:t xml:space="preserve">will</w:t>
      </w:r>
      <w:r w:rsidDel="00000000" w:rsidR="00000000" w:rsidRPr="00000000">
        <w:rPr>
          <w:rFonts w:ascii="Times New Roman" w:cs="Times New Roman" w:eastAsia="Times New Roman" w:hAnsi="Times New Roman"/>
          <w:rtl w:val="0"/>
        </w:rPr>
        <w:t xml:space="preserve"> happen under future or hypothetical conditions. This transforms decision-making from reactive to anticipatory.</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Integration of diverse data sources</w:t>
      </w:r>
      <w:r w:rsidDel="00000000" w:rsidR="00000000" w:rsidRPr="00000000">
        <w:rPr>
          <w:rFonts w:ascii="Times New Roman" w:cs="Times New Roman" w:eastAsia="Times New Roman" w:hAnsi="Times New Roman"/>
          <w:rtl w:val="0"/>
        </w:rPr>
        <w:t xml:space="preserve">: AI can integrate historical crash records, road infrastructure data, weather patterns, and temporal features into a unified risk estimate—a task impractical and error-prone through manual analysis alone.</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would be lost without AI?</w:t>
      </w:r>
      <w:r w:rsidDel="00000000" w:rsidR="00000000" w:rsidRPr="00000000">
        <w:rPr>
          <w:rFonts w:ascii="Times New Roman" w:cs="Times New Roman" w:eastAsia="Times New Roman" w:hAnsi="Times New Roman"/>
          <w:rtl w:val="0"/>
        </w:rPr>
        <w:t xml:space="preserve"> The system would revert to a static descriptive visualisation, losing predictive insight, conditional risk assessment capabilities, systematic prioritisation, and the ability to surface which factors most strongly influence severity risk at specific locations.</w:t>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h7h6392il58" w:id="8"/>
      <w:bookmarkEnd w:id="8"/>
      <w:r w:rsidDel="00000000" w:rsidR="00000000" w:rsidRPr="00000000">
        <w:rPr>
          <w:rFonts w:ascii="Times New Roman" w:cs="Times New Roman" w:eastAsia="Times New Roman" w:hAnsi="Times New Roman"/>
          <w:b w:val="1"/>
          <w:bCs w:val="1"/>
          <w:sz w:val="34"/>
          <w:szCs w:val="34"/>
          <w:rtl w:val="0"/>
        </w:rPr>
        <w:t xml:space="preserve">2. AI Task and Project Objectives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hpzy8awm9o" w:id="9"/>
      <w:bookmarkEnd w:id="9"/>
      <w:r w:rsidDel="00000000" w:rsidR="00000000" w:rsidRPr="00000000">
        <w:rPr>
          <w:rFonts w:ascii="Times New Roman" w:cs="Times New Roman" w:eastAsia="Times New Roman" w:hAnsi="Times New Roman"/>
          <w:b w:val="1"/>
          <w:bCs w:val="1"/>
          <w:color w:val="000000"/>
          <w:sz w:val="26"/>
          <w:szCs w:val="26"/>
          <w:rtl w:val="0"/>
        </w:rPr>
        <w:t xml:space="preserve">Precise Definition of the AI Task</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Task</w:t>
      </w:r>
      <w:r w:rsidDel="00000000" w:rsidR="00000000" w:rsidRPr="00000000">
        <w:rPr>
          <w:rFonts w:ascii="Times New Roman" w:cs="Times New Roman" w:eastAsia="Times New Roman" w:hAnsi="Times New Roman"/>
          <w:rtl w:val="0"/>
        </w:rPr>
        <w:t xml:space="preserve">: Binary classification predicting whether a crash incident is serious (fatal or injury) versus non-serious (property damage only).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infrastructure features (road type, speed limit, road condition)</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factors (weather conditions, lighting, surface condition)</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features (time of day, day of week, month, season)</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attributes (LGA, road segment identifier, geographic coordinates)</w:t>
      </w:r>
    </w:p>
    <w:p w:rsidR="00000000" w:rsidDel="00000000" w:rsidP="00000000" w:rsidRDefault="00000000" w:rsidRPr="00000000" w14:paraId="0000002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crash characteristics (vehicle type, crash type, contributing factors)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Outputs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Primary output</w:t>
      </w:r>
      <w:r w:rsidDel="00000000" w:rsidR="00000000" w:rsidRPr="00000000">
        <w:rPr>
          <w:rFonts w:ascii="Times New Roman" w:cs="Times New Roman" w:eastAsia="Times New Roman" w:hAnsi="Times New Roman"/>
          <w:rtl w:val="0"/>
        </w:rPr>
        <w:t xml:space="preserve">: Probability score (0-1) indicating likelihood of serious crash for each incident/road segment.</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Secondary outputs</w:t>
      </w:r>
      <w:r w:rsidDel="00000000" w:rsidR="00000000" w:rsidRPr="00000000">
        <w:rPr>
          <w:rFonts w:ascii="Times New Roman" w:cs="Times New Roman" w:eastAsia="Times New Roman" w:hAnsi="Times New Roman"/>
          <w:rtl w:val="0"/>
        </w:rPr>
        <w:t xml:space="preserve">: Classification label (SERIOUS_CRASH = 1, NON_SERIOUS = 0), confidence intervals, feature importance explanations, model uncertainty indicators.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of Analysis</w:t>
      </w:r>
      <w:r w:rsidDel="00000000" w:rsidR="00000000" w:rsidRPr="00000000">
        <w:rPr>
          <w:rFonts w:ascii="Times New Roman" w:cs="Times New Roman" w:eastAsia="Times New Roman" w:hAnsi="Times New Roman"/>
          <w:rtl w:val="0"/>
        </w:rPr>
        <w:t xml:space="preserve">: Each crash incident record or road segment assessment.</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 of Inference</w:t>
      </w:r>
      <w:r w:rsidDel="00000000" w:rsidR="00000000" w:rsidRPr="00000000">
        <w:rPr>
          <w:rFonts w:ascii="Times New Roman" w:cs="Times New Roman" w:eastAsia="Times New Roman" w:hAnsi="Times New Roman"/>
          <w:rtl w:val="0"/>
        </w:rPr>
        <w:t xml:space="preserve">: On-demand user queries or batch processing for periodic risk assessments.</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8lxwyx3ncja" w:id="10"/>
      <w:bookmarkEnd w:id="10"/>
      <w:r w:rsidDel="00000000" w:rsidR="00000000" w:rsidRPr="00000000">
        <w:rPr>
          <w:rFonts w:ascii="Times New Roman" w:cs="Times New Roman" w:eastAsia="Times New Roman" w:hAnsi="Times New Roman"/>
          <w:b w:val="1"/>
          <w:bCs w:val="1"/>
          <w:color w:val="000000"/>
          <w:sz w:val="26"/>
          <w:szCs w:val="26"/>
          <w:rtl w:val="0"/>
        </w:rPr>
        <w:t xml:space="preserve">Minimum Viable Project and Measurable Indicators of Success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Minimum Viable Project (MVP)</w:t>
      </w:r>
      <w:r w:rsidDel="00000000" w:rsidR="00000000" w:rsidRPr="00000000">
        <w:rPr>
          <w:rFonts w:ascii="Times New Roman" w:cs="Times New Roman" w:eastAsia="Times New Roman" w:hAnsi="Times New Roman"/>
          <w:rtl w:val="0"/>
        </w:rPr>
        <w:t xml:space="preserve"> commits to delivering:</w:t>
      </w:r>
    </w:p>
    <w:p w:rsidR="00000000" w:rsidDel="00000000" w:rsidP="00000000" w:rsidRDefault="00000000" w:rsidRPr="00000000" w14:paraId="0000002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 trained machine learning model achieving ≥70% accuracy on hold-out test data.</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interactive dashboard with at least three visualisation components (risk map, feature impact analysis, condition-based filtering).</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model explanations showing the top five contributing factors per prediction.</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pipeline capable of loading and preprocessing the NSW crash dataset.</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Measurable Indicators of Technical Success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Model performance: Accuracy ≥70%, F1-score ≥0.65, AUC-ROC ≥0.75</w:t>
      </w:r>
    </w:p>
    <w:p w:rsidR="00000000" w:rsidDel="00000000" w:rsidP="00000000" w:rsidRDefault="00000000" w:rsidRPr="00000000" w14:paraId="0000003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comparison: Candidate model outperforms simple baseline (e.g., frequency-based prediction) by at least 10%</w:t>
      </w:r>
    </w:p>
    <w:p w:rsidR="00000000" w:rsidDel="00000000" w:rsidP="00000000" w:rsidRDefault="00000000" w:rsidRPr="00000000" w14:paraId="0000003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time: Prediction output generated within 5 seconds for user queries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Measurable Indicators of User-Centred Success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identify and rank the top 10 highest-risk locations within 2 minutes</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of users correctly interpret model confidence indicators</w:t>
      </w:r>
    </w:p>
    <w:p w:rsidR="00000000" w:rsidDel="00000000" w:rsidP="00000000" w:rsidRDefault="00000000" w:rsidRPr="00000000" w14:paraId="00000036">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report confidence in using predictions to support budget allocation decisions (survey-based)</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f8z33unt7ss" w:id="11"/>
      <w:bookmarkEnd w:id="11"/>
      <w:r w:rsidDel="00000000" w:rsidR="00000000" w:rsidRPr="00000000">
        <w:rPr>
          <w:rFonts w:ascii="Times New Roman" w:cs="Times New Roman" w:eastAsia="Times New Roman" w:hAnsi="Times New Roman"/>
          <w:b w:val="1"/>
          <w:bCs w:val="1"/>
          <w:color w:val="000000"/>
          <w:sz w:val="26"/>
          <w:szCs w:val="26"/>
          <w:rtl w:val="0"/>
        </w:rPr>
        <w:t xml:space="preserve">How the AI Output Creates Value for Intended Users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Road Safety Planners</w:t>
      </w:r>
      <w:r w:rsidDel="00000000" w:rsidR="00000000" w:rsidRPr="00000000">
        <w:rPr>
          <w:rFonts w:ascii="Times New Roman" w:cs="Times New Roman" w:eastAsia="Times New Roman" w:hAnsi="Times New Roman"/>
          <w:rtl w:val="0"/>
        </w:rPr>
        <w:t xml:space="preserve">:</w:t>
      </w:r>
    </w:p>
    <w:tbl>
      <w:tblPr>
        <w:tblStyle w:val="Table1"/>
        <w:tblW w:w="9025.511811023624" w:type="dxa"/>
        <w:jc w:val="left"/>
        <w:tblLayout w:type="fixed"/>
        <w:tblLook w:val="0600"/>
      </w:tblPr>
      <w:tblGrid>
        <w:gridCol w:w="3100.877271230456"/>
        <w:gridCol w:w="5924.634539793167"/>
        <w:tblGridChange w:id="0">
          <w:tblGrid>
            <w:gridCol w:w="3100.877271230456"/>
            <w:gridCol w:w="5924.63453979316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Created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severity risk scores</w:t>
            </w:r>
          </w:p>
        </w:tc>
        <w:tc>
          <w:tcP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prioritisation of safety upgrades to locations with highest predicted harm, maximising budget impact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risk assessments (wet/dry, day/night)</w:t>
            </w:r>
          </w:p>
        </w:tc>
        <w:tc>
          <w:tcP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targeted interventions (e.g., lighting upgrades, speed limit reductions) for specific conditions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importance explanations</w:t>
            </w:r>
          </w:p>
        </w:tc>
        <w:tc>
          <w:tcP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defensible, transparent justification for investment decisions to stakeholders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indicators</w:t>
            </w:r>
          </w:p>
        </w:tc>
        <w:tc>
          <w:tcP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over-reliance on uncertain predictions; supports balanced, risk-aware decision-making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"What-if" scenario exploration</w:t>
            </w:r>
          </w:p>
        </w:tc>
        <w:tc>
          <w:tcP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planners to model the potential impact of interventions (e.g., reducing speed limits)</w:t>
            </w:r>
          </w:p>
        </w:tc>
      </w:tr>
    </w:tbl>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Proposition</w:t>
      </w:r>
      <w:r w:rsidDel="00000000" w:rsidR="00000000" w:rsidRPr="00000000">
        <w:rPr>
          <w:rFonts w:ascii="Times New Roman" w:cs="Times New Roman" w:eastAsia="Times New Roman" w:hAnsi="Times New Roman"/>
          <w:rtl w:val="0"/>
        </w:rPr>
        <w:t xml:space="preserve">: Rather than asking "where have crashes happened?", planners can now ask "where are serious crashes most likely to happen, and what can we do about it?" This shift from reactive to proactive decision-making fundamentally improves the effectiveness of road safety investment.</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97zixvn6ets" w:id="12"/>
      <w:bookmarkEnd w:id="12"/>
      <w:r w:rsidDel="00000000" w:rsidR="00000000" w:rsidRPr="00000000">
        <w:br w:type="page"/>
      </w:r>
      <w:r w:rsidDel="00000000" w:rsidR="00000000" w:rsidRPr="00000000">
        <w:rPr>
          <w:rtl w:val="0"/>
        </w:rPr>
      </w:r>
    </w:p>
    <w:p>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ec6_viz" w:id="901"/>
      <w:bookmarkEnd w:id="901"/>
      <w:r>
        <w:rPr>
          <w:rFonts w:ascii="Times New Roman" w:cs="Times New Roman" w:eastAsia="Times New Roman" w:hAnsi="Times New Roman"/>
          <w:b w:val="1"/>
          <w:bCs w:val="1"/>
          <w:sz w:val="34"/>
          <w:szCs w:val="34"/>
          <w:rtl w:val="0"/>
        </w:rPr>
        <w:t xml:space="preserve">6. Visualisation and Human-AI Interaction</w:t>
      </w: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Visualisation Design</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dashboard translates the model's calibrated casualty-probability score into views that match the decisions planners actually make, rather than exposing a raw model output. Two views operate at the level of an individual crash record, two operate at the level of the council area a budget is allocated against, and three make the model's reasoning and reliability inspectable. All seven are delivered as self-contained, interactive pages so a marker or planner can open, filter and hover them directly in a browser.</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Observed crash severity</w:t>
      </w:r>
      <w:r>
        <w:rPr>
          <w:rFonts w:ascii="Times New Roman" w:cs="Times New Roman" w:eastAsia="Times New Roman" w:hAnsi="Times New Roman"/>
          <w:rtl w:val="0"/>
        </w:rPr>
        <w:t xml:space="preserve">: an interactive scatter map plotting every reported 2024 crash by location, coloured by what actually happened (Fatal, Injury, Non-casualty); clicking a legend entry filters the map. This retains the planner's existing frame of reference — where crashes have happened — as a baseline against which the predictive view can be compared.</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Predicted risk, by crash</w:t>
      </w:r>
      <w:r>
        <w:rPr>
          <w:rFonts w:ascii="Times New Roman" w:cs="Times New Roman" w:eastAsia="Times New Roman" w:hAnsi="Times New Roman"/>
          <w:rtl w:val="0"/>
        </w:rPr>
        <w:t xml:space="preserve">: the same crash locations, recoloured by the model's predicted casualty probability rather than the recorded outcome, with filters for outcome and lighting condition. Placing this beside the observed map lets a planner see directly where the model's ranking agrees or disagrees with the historical record, rather than taking the model's word for it.</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Predicted risk, by council area</w:t>
      </w:r>
      <w:r>
        <w:rPr>
          <w:rFonts w:ascii="Times New Roman" w:cs="Times New Roman" w:eastAsia="Times New Roman" w:hAnsi="Times New Roman"/>
          <w:rtl w:val="0"/>
        </w:rPr>
        <w:t xml:space="preserve">: a bubble map aggregating mean predicted risk to LGA level, sized by crash volume, with a drag threshold to highlight areas above a chosen risk level. This matches how budgets are actually allocated — by council area, not by individual crash — and directly supports the “allocate budgets to highest-risk areas” decision from Section 1.</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Highest-risk council areas</w:t>
      </w:r>
      <w:r>
        <w:rPr>
          <w:rFonts w:ascii="Times New Roman" w:cs="Times New Roman" w:eastAsia="Times New Roman" w:hAnsi="Times New Roman"/>
          <w:rtl w:val="0"/>
        </w:rPr>
        <w:t xml:space="preserve">: a ranked shortlist of the fifteen LGAs with the highest mean predicted risk, each annotated with its observed rate and the prediction gap, supporting the “rank locations by predicted severity risk” decision without requiring the planner to read values off a map.</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Risk factors explorer</w:t>
      </w:r>
      <w:r>
        <w:rPr>
          <w:rFonts w:ascii="Times New Roman" w:cs="Times New Roman" w:eastAsia="Times New Roman" w:hAnsi="Times New Roman"/>
          <w:rtl w:val="0"/>
        </w:rPr>
        <w:t xml:space="preserve">: a toggleable chart switching between weather, speed limit, natural lighting and urbanisation category, letting a planner run the wet-versus-dry and day-versus-night comparisons called for in Section 1.</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What the model relies on</w:t>
      </w:r>
      <w:r>
        <w:rPr>
          <w:rFonts w:ascii="Times New Roman" w:cs="Times New Roman" w:eastAsia="Times New Roman" w:hAnsi="Times New Roman"/>
          <w:rtl w:val="0"/>
        </w:rPr>
        <w:t xml:space="preserve">: a permutation-importance chart ranking features by how much held-out ROC-AUC drops when that feature is shuffled, meeting the MVP commitment to explain the top contributing factors behind a prediction rather than presenting a probability with no justification.</w:t>
      </w:r>
    </w:p>
    <w:p>
      <w:pPr>
        <w:numPr>
          <w:ilvl w:val="0"/>
          <w:numId w:val="9"/>
        </w:numPr>
        <w:spacing w:after="0" w:afterAutospacing="0" w:before="240" w:lineRule="auto"/>
        <w:ind w:left="720" w:hanging="360"/>
      </w:pPr>
      <w:r>
        <w:rPr>
          <w:rFonts w:ascii="Times New Roman" w:cs="Times New Roman" w:eastAsia="Times New Roman" w:hAnsi="Times New Roman"/>
          <w:b w:val="1"/>
          <w:bCs w:val="1"/>
          <w:rtl w:val="0"/>
        </w:rPr>
        <w:t xml:space="preserve">Do the risk bands hold up?</w:t>
      </w:r>
      <w:r>
        <w:rPr>
          <w:rFonts w:ascii="Times New Roman" w:cs="Times New Roman" w:eastAsia="Times New Roman" w:hAnsi="Times New Roman"/>
          <w:rtl w:val="0"/>
        </w:rPr>
        <w:t xml:space="preserve">: a validation chart comparing each risk band's mean predicted probability against the casualty rate actually observed within it on the held-out 2024 year — the evidence a planner needs before trusting a band label at all.</w:t>
      </w: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Human–AI Interaction</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Beyond viewing, users act on the model's output through five interactions:</w:t>
      </w:r>
    </w:p>
    <w:tbl>
      <w:tblPr>
        <w:tblStyle w:val="Table1"/>
        <w:tblW w:w="9025.511811023624" w:type="dxa"/>
        <w:jc w:val="left"/>
        <w:tblLayout w:type="fixed"/>
        <w:tblLook w:val="0600"/>
      </w:tblPr>
      <w:tblGrid>
        <w:gridCol w:w="3100.877271230456"/>
        <w:gridCol w:w="5924.634539793167"/>
      </w:tblGrid>
      <w:tr>
        <w:trPr>
          <w:cantSplit w:val="0"/>
          <w:trHeight w:val="500" w:hRule="atLeast"/>
          <w:tblHeader w:val="0"/>
        </w:trPr>
        <w:tc>
          <w:tcPr>
            <w:tcW w:w="3100.877271230456" w:type="dxa"/>
            <w:tcMar>
              <w:top w:w="100.0" w:type="dxa"/>
              <w:left w:w="100.0" w:type="dxa"/>
              <w:bottom w:w="100.0" w:type="dxa"/>
              <w:right w:w="100.0" w:type="dxa"/>
            </w:tcMar>
            <w:vAlign w:val="top"/>
          </w:tcPr>
          <w:p>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Interaction</w:t>
            </w:r>
          </w:p>
        </w:tc>
        <w:tc>
          <w:tcPr>
            <w:tcW w:w="5924.634539793167" w:type="dxa"/>
            <w:tcMar>
              <w:top w:w="100.0" w:type="dxa"/>
              <w:left w:w="100.0" w:type="dxa"/>
              <w:bottom w:w="100.0" w:type="dxa"/>
              <w:right w:w="100.0" w:type="dxa"/>
            </w:tcMar>
            <w:vAlign w:val="top"/>
          </w:tcPr>
          <w:p>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Purpose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Click a severity or legend entry</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Filter the crash map or scatter view to a single outcome or predicted-risk band</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Drag the risk-threshold slider</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Highlight only the LGAs, or crashes, above a chosen predicted-risk level</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Switch the risk-factor dropdown</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Compare crash counts across weather, speed limit, lighting and urbanisation</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Hover any chart element</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Read the exact value, sample size and, where relevant, the prediction gap behind it</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Accept or reject a prediction</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Record whether the planner agrees with the model's call on a shortlisted area, flagging disagreements for manual review before a budget decision is finalised</w:t>
            </w:r>
          </w:p>
        </w:tc>
      </w:tr>
    </w:tbl>
    <w:p>
      <w:pPr>
        <w:spacing w:after="240" w:before="0" w:lineRule="auto"/>
        <w:rPr>
          <w:rFonts w:ascii="Times New Roman" w:cs="Times New Roman" w:eastAsia="Times New Roman" w:hAnsi="Times New Roman"/>
        </w:rPr>
      </w:pP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Communicating Uncertainty and Confidence</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Rather than surfacing an unqualified probability, the dashboard communicates confidence in four complementary ways:</w:t>
      </w:r>
    </w:p>
    <w:p>
      <w:pPr>
        <w:numPr>
          <w:ilvl w:val="0"/>
          <w:numId w:val="10"/>
        </w:numPr>
        <w:spacing w:after="0" w:afterAutospacing="0" w:before="240" w:lineRule="auto"/>
        <w:ind w:left="720" w:hanging="360"/>
      </w:pPr>
      <w:r>
        <w:rPr>
          <w:rFonts w:ascii="Times New Roman" w:cs="Times New Roman" w:eastAsia="Times New Roman" w:hAnsi="Times New Roman"/>
          <w:b w:val="1"/>
          <w:bCs w:val="1"/>
          <w:rtl w:val="0"/>
        </w:rPr>
        <w:t xml:space="preserve">Risk bands over raw scores</w:t>
      </w:r>
      <w:r>
        <w:rPr>
          <w:rFonts w:ascii="Times New Roman" w:cs="Times New Roman" w:eastAsia="Times New Roman" w:hAnsi="Times New Roman"/>
          <w:rtl w:val="0"/>
        </w:rPr>
        <w:t xml:space="preserve">: predictions are shown as one of four bands (Low, Moderate, Elevated, High), each labelled with how many 2024 records fall inside it — the High band, for example, holds only 1,541 of 18,939 test-year records — so a “High” reading is understood as a selective, evidenced call rather than an arbitrary cut-off.</w:t>
      </w:r>
    </w:p>
    <w:p>
      <w:pPr>
        <w:numPr>
          <w:ilvl w:val="0"/>
          <w:numId w:val="10"/>
        </w:numPr>
        <w:spacing w:after="0" w:afterAutospacing="0" w:before="240" w:lineRule="auto"/>
        <w:ind w:left="720" w:hanging="360"/>
      </w:pPr>
      <w:r>
        <w:rPr>
          <w:rFonts w:ascii="Times New Roman" w:cs="Times New Roman" w:eastAsia="Times New Roman" w:hAnsi="Times New Roman"/>
          <w:b w:val="1"/>
          <w:bCs w:val="1"/>
          <w:rtl w:val="0"/>
        </w:rPr>
        <w:t xml:space="preserve">Band validation</w:t>
      </w:r>
      <w:r>
        <w:rPr>
          <w:rFonts w:ascii="Times New Roman" w:cs="Times New Roman" w:eastAsia="Times New Roman" w:hAnsi="Times New Roman"/>
          <w:rtl w:val="0"/>
        </w:rPr>
        <w:t xml:space="preserve">: the risk-band view exists specifically to show that a band means what it says, plotting mean predicted risk against observed casualty rate for each band; their closeness on the held-out year is what licenses presenting a band label to a planner rather than a bare probability.</w:t>
      </w:r>
    </w:p>
    <w:p>
      <w:pPr>
        <w:numPr>
          <w:ilvl w:val="0"/>
          <w:numId w:val="10"/>
        </w:numPr>
        <w:spacing w:after="0" w:afterAutospacing="0" w:before="240" w:lineRule="auto"/>
        <w:ind w:left="720" w:hanging="360"/>
      </w:pPr>
      <w:r>
        <w:rPr>
          <w:rFonts w:ascii="Times New Roman" w:cs="Times New Roman" w:eastAsia="Times New Roman" w:hAnsi="Times New Roman"/>
          <w:b w:val="1"/>
          <w:bCs w:val="1"/>
          <w:rtl w:val="0"/>
        </w:rPr>
        <w:t xml:space="preserve">Disclosure of what the model does not know</w:t>
      </w:r>
      <w:r>
        <w:rPr>
          <w:rFonts w:ascii="Times New Roman" w:cs="Times New Roman" w:eastAsia="Times New Roman" w:hAnsi="Times New Roman"/>
          <w:rtl w:val="0"/>
        </w:rPr>
        <w:t xml:space="preserve">: the feature-importance view discloses that location (latitude, longitude, conurbation) contributes almost nothing to the prediction, pre-empting the natural but mistaken reading of the risk map as “crashes happen because of where they are”; every map carries a caption stating this directly.</w:t>
      </w:r>
    </w:p>
    <w:p>
      <w:pPr>
        <w:numPr>
          <w:ilvl w:val="0"/>
          <w:numId w:val="10"/>
        </w:numPr>
        <w:spacing w:after="0" w:afterAutospacing="0" w:before="240" w:lineRule="auto"/>
        <w:ind w:left="720" w:hanging="360"/>
      </w:pPr>
      <w:r>
        <w:rPr>
          <w:rFonts w:ascii="Times New Roman" w:cs="Times New Roman" w:eastAsia="Times New Roman" w:hAnsi="Times New Roman"/>
          <w:b w:val="1"/>
          <w:bCs w:val="1"/>
          <w:rtl w:val="0"/>
        </w:rPr>
        <w:t xml:space="preserve">A human decision stays in the loop</w:t>
      </w:r>
      <w:r>
        <w:rPr>
          <w:rFonts w:ascii="Times New Roman" w:cs="Times New Roman" w:eastAsia="Times New Roman" w:hAnsi="Times New Roman"/>
          <w:rtl w:val="0"/>
        </w:rPr>
        <w:t xml:space="preserve">: the accept/reject review panel keeps final judgement with the planner — the model's output is a ranked shortlist to check, not an automated budget decision, and a rejected call is a recorded signal that the case needs manual review rather than a dead end.</w:t>
      </w:r>
    </w:p>
    <w:p>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ec7_arch" w:id="902"/>
      <w:bookmarkEnd w:id="902"/>
      <w:r>
        <w:rPr>
          <w:rFonts w:ascii="Times New Roman" w:cs="Times New Roman" w:eastAsia="Times New Roman" w:hAnsi="Times New Roman"/>
          <w:b w:val="1"/>
          <w:bCs w:val="1"/>
          <w:sz w:val="34"/>
          <w:szCs w:val="34"/>
          <w:rtl w:val="0"/>
        </w:rPr>
        <w:t xml:space="preserve">7. Technical Architecture, Feasibility and Implementation Plan</w:t>
      </w: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System Architecture</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architecture set out at proposal stage has been deliberately simplified for the MVP. A live prediction API adds a server, an authentication surface and a hosting cost that the project's actual inference pattern does not need: Section 2 defines inference as on-demand queries or periodic batch scoring, not high-frequency live requests, so scores can be computed once, offline, and shipped with the page. The resulting pipeline is:</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Data source</w:t>
      </w:r>
      <w:r>
        <w:rPr>
          <w:rFonts w:ascii="Times New Roman" w:cs="Times New Roman" w:eastAsia="Times New Roman" w:hAnsi="Times New Roman"/>
          <w:rtl w:val="0"/>
        </w:rPr>
        <w:t xml:space="preserve">: NSW Road Crash Data 2020–2024 (Transport for NSW, CC BY 4.0), loaded and cleaned in a single Jupyter notebook.</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Data pipeline</w:t>
      </w:r>
      <w:r>
        <w:rPr>
          <w:rFonts w:ascii="Times New Roman" w:cs="Times New Roman" w:eastAsia="Times New Roman" w:hAnsi="Times New Roman"/>
          <w:rtl w:val="0"/>
        </w:rPr>
        <w:t xml:space="preserve">: pandas-based cleaning, per-field missing-value handling, feature engineering, and a temporal train/test split (train 2020–2023, test 2024) to avoid leakage between near-duplicate locations.</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Model layer</w:t>
      </w:r>
      <w:r>
        <w:rPr>
          <w:rFonts w:ascii="Times New Roman" w:cs="Times New Roman" w:eastAsia="Times New Roman" w:hAnsi="Times New Roman"/>
          <w:rtl w:val="0"/>
        </w:rPr>
        <w:t xml:space="preserve">: a calibrated baseline plus histogram gradient boosting classifier (Section 4), evaluated on the held-out 2024 year and exported once the candidate model is selected.</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Static export</w:t>
      </w:r>
      <w:r>
        <w:rPr>
          <w:rFonts w:ascii="Times New Roman" w:cs="Times New Roman" w:eastAsia="Times New Roman" w:hAnsi="Times New Roman"/>
          <w:rtl w:val="0"/>
        </w:rPr>
        <w:t xml:space="preserve">: the trained model's outputs for every chart — predictions, permutation importances, band statistics, LGA aggregates — are serialised once, at export time, into small specs embedded directly in each visualisation page. No API, database or server is queried at view time.</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Visualisation layer</w:t>
      </w:r>
      <w:r>
        <w:rPr>
          <w:rFonts w:ascii="Times New Roman" w:cs="Times New Roman" w:eastAsia="Times New Roman" w:hAnsi="Times New Roman"/>
          <w:rtl w:val="0"/>
        </w:rPr>
        <w:t xml:space="preserve">: seven self-contained HTML pages (an interactive plotting library for the two crash-level maps, a shared lightweight charting script for the rest), each independently viewable and independently hostable.</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Dashboard shell</w:t>
      </w:r>
      <w:r>
        <w:rPr>
          <w:rFonts w:ascii="Times New Roman" w:cs="Times New Roman" w:eastAsia="Times New Roman" w:hAnsi="Times New Roman"/>
          <w:rtl w:val="0"/>
        </w:rPr>
        <w:t xml:space="preserve">: a single HTML page providing tab navigation across the seven visualisations plus the review panel, loading each page only when it is opened so the largest files are not fetched unnecessarily.</w:t>
      </w:r>
    </w:p>
    <w:p>
      <w:pPr>
        <w:numPr>
          <w:ilvl w:val="0"/>
          <w:numId w:val="11"/>
        </w:numPr>
        <w:spacing w:after="0" w:afterAutospacing="0" w:before="240" w:lineRule="auto"/>
        <w:ind w:left="720" w:hanging="360"/>
      </w:pPr>
      <w:r>
        <w:rPr>
          <w:rFonts w:ascii="Times New Roman" w:cs="Times New Roman" w:eastAsia="Times New Roman" w:hAnsi="Times New Roman"/>
          <w:b w:val="1"/>
          <w:bCs w:val="1"/>
          <w:rtl w:val="0"/>
        </w:rPr>
        <w:t xml:space="preserve">User feedback</w:t>
      </w:r>
      <w:r>
        <w:rPr>
          <w:rFonts w:ascii="Times New Roman" w:cs="Times New Roman" w:eastAsia="Times New Roman" w:hAnsi="Times New Roman"/>
          <w:rtl w:val="0"/>
        </w:rPr>
        <w:t xml:space="preserve">: a client-side accept/reject panel over the ranked shortlist, giving planners a recorded way to flag disagreement with a specific prediction ahead of any future server-backed version.</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Because every visualisation is a static file, the whole system deploys to a free static host with no build step, no server cost and no credentials to manage, directly supporting the “no API keys or credentials required” disclosure already made in Section 1's references.</w:t>
      </w: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Implementation Status and Milestones</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Development is ahead of the schedule set out at proposal stage:</w:t>
      </w:r>
    </w:p>
    <w:tbl>
      <w:tblPr>
        <w:tblStyle w:val="Table1"/>
        <w:tblW w:w="9025.511811023624" w:type="dxa"/>
        <w:jc w:val="left"/>
        <w:tblLayout w:type="fixed"/>
        <w:tblLook w:val="0600"/>
      </w:tblPr>
      <w:tblGrid>
        <w:gridCol w:w="3100.877271230456"/>
        <w:gridCol w:w="5924.634539793167"/>
      </w:tblGrid>
      <w:tr>
        <w:trPr>
          <w:cantSplit w:val="0"/>
          <w:trHeight w:val="500" w:hRule="atLeast"/>
          <w:tblHeader w:val="0"/>
        </w:trPr>
        <w:tc>
          <w:tcPr>
            <w:tcW w:w="3100.877271230456" w:type="dxa"/>
            <w:tcMar>
              <w:top w:w="100.0" w:type="dxa"/>
              <w:left w:w="100.0" w:type="dxa"/>
              <w:bottom w:w="100.0" w:type="dxa"/>
              <w:right w:w="100.0" w:type="dxa"/>
            </w:tcMar>
            <w:vAlign w:val="top"/>
          </w:tcPr>
          <w:p>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Milestone</w:t>
            </w:r>
          </w:p>
        </w:tc>
        <w:tc>
          <w:tcPr>
            <w:tcW w:w="5924.634539793167" w:type="dxa"/>
            <w:tcMar>
              <w:top w:w="100.0" w:type="dxa"/>
              <w:left w:w="100.0" w:type="dxa"/>
              <w:bottom w:w="100.0" w:type="dxa"/>
              <w:right w:w="100.0" w:type="dxa"/>
            </w:tcMar>
            <w:vAlign w:val="top"/>
          </w:tcPr>
          <w:p>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Status</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Data pipeline (cleaning, feature engineering, temporal split)</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Baseline and candidate models trained and evaluated</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Observed and predicted risk maps (crash-level and LGA-level)</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Risk factor explorer, feature importance and risk-band validation views</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Dashboard shell with tab navigation</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Accept/reject feedback panel</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Deployment to a live, browsable prototype</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Complete</w:t>
            </w:r>
          </w:p>
        </w:tc>
      </w:tr>
      <w:tr>
        <w:trPr>
          <w:cantSplit w:val="0"/>
          <w:trHeight w:val="500" w:hRule="atLeast"/>
          <w:tblHeader w:val="0"/>
        </w:trPr>
        <w:tc>
          <w:tcPr>
            <w:tcW w:w="3100.877271230456"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b w:val="1"/>
                <w:bCs w:val="1"/>
                <w:rtl w:val="0"/>
              </w:rPr>
              <w:t xml:space="preserve">User testing against the success criteria in Section 2</w:t>
            </w:r>
          </w:p>
        </w:tc>
        <w:tc>
          <w:tcPr>
            <w:tcW w:w="5924.634539793167" w:type="dxa"/>
            <w:tcMar>
              <w:top w:w="100.0" w:type="dxa"/>
              <w:left w:w="100.0" w:type="dxa"/>
              <w:bottom w:w="100.0" w:type="dxa"/>
              <w:right w:w="100.0" w:type="dxa"/>
            </w:tcMar>
            <w:vAlign w:val="top"/>
          </w:tcPr>
          <w:p>
            <w:pPr>
              <w:rPr>
                <w:rFonts w:ascii="Times New Roman" w:cs="Times New Roman" w:eastAsia="Times New Roman" w:hAnsi="Times New Roman"/>
              </w:rPr>
            </w:pPr>
            <w:r>
              <w:rPr>
                <w:rFonts w:ascii="Times New Roman" w:cs="Times New Roman" w:eastAsia="Times New Roman" w:hAnsi="Times New Roman"/>
                <w:rtl w:val="0"/>
              </w:rPr>
              <w:t xml:space="preserve">Not yet started</w:t>
            </w:r>
          </w:p>
        </w:tc>
      </w:tr>
    </w:tbl>
    <w:p>
      <w:pPr>
        <w:spacing w:after="240" w:before="0" w:lineRule="auto"/>
        <w:rPr>
          <w:rFonts w:ascii="Times New Roman" w:cs="Times New Roman" w:eastAsia="Times New Roman" w:hAnsi="Times New Roman"/>
        </w:rPr>
      </w:pP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This places the project ahead of the Week 4 “dashboard prototype” milestone originally planned; remaining effort is concentrated on user testing and Section 8's responsible-AI controls, not on further engineering.</w:t>
      </w: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Risks and Contingencies</w:t>
      </w:r>
    </w:p>
    <w:p>
      <w:pPr>
        <w:numPr>
          <w:ilvl w:val="0"/>
          <w:numId w:val="12"/>
        </w:numPr>
        <w:spacing w:after="0" w:afterAutospacing="0" w:before="240" w:lineRule="auto"/>
        <w:ind w:left="720" w:hanging="360"/>
      </w:pPr>
      <w:r>
        <w:rPr>
          <w:rFonts w:ascii="Times New Roman" w:cs="Times New Roman" w:eastAsia="Times New Roman" w:hAnsi="Times New Roman"/>
          <w:b w:val="1"/>
          <w:bCs w:val="1"/>
          <w:rtl w:val="0"/>
        </w:rPr>
        <w:t xml:space="preserve">Severe class rarity</w:t>
      </w:r>
      <w:r>
        <w:rPr>
          <w:rFonts w:ascii="Times New Roman" w:cs="Times New Roman" w:eastAsia="Times New Roman" w:hAnsi="Times New Roman"/>
          <w:rtl w:val="0"/>
        </w:rPr>
        <w:t xml:space="preserve">: fatal crashes are only 1.5% of records (Section 3), so the target was defined as casualty (fatal or injury) versus non-casualty rather than fatal-only, keeping the positive class large enough to model reliably; this trade-off is disclosed in every relevant chart caption rather than hidden.</w:t>
      </w:r>
    </w:p>
    <w:p>
      <w:pPr>
        <w:numPr>
          <w:ilvl w:val="0"/>
          <w:numId w:val="12"/>
        </w:numPr>
        <w:spacing w:after="0" w:afterAutospacing="0" w:before="240" w:lineRule="auto"/>
        <w:ind w:left="720" w:hanging="360"/>
      </w:pPr>
      <w:r>
        <w:rPr>
          <w:rFonts w:ascii="Times New Roman" w:cs="Times New Roman" w:eastAsia="Times New Roman" w:hAnsi="Times New Roman"/>
          <w:b w:val="1"/>
          <w:bCs w:val="1"/>
          <w:rtl w:val="0"/>
        </w:rPr>
        <w:t xml:space="preserve">Modest ranking power</w:t>
      </w:r>
      <w:r>
        <w:rPr>
          <w:rFonts w:ascii="Times New Roman" w:cs="Times New Roman" w:eastAsia="Times New Roman" w:hAnsi="Times New Roman"/>
          <w:rtl w:val="0"/>
        </w:rPr>
        <w:t xml:space="preserve">: a ROC-AUC of 0.634 means the model separates outcomes clearly but not sharply. Mitigation: results are presented as calibrated risk bands and a validated shortlist, which is where the model's value actually lies, rather than as a headline accuracy figure that would overstate its power.</w:t>
      </w:r>
    </w:p>
    <w:p>
      <w:pPr>
        <w:numPr>
          <w:ilvl w:val="0"/>
          <w:numId w:val="12"/>
        </w:numPr>
        <w:spacing w:after="0" w:afterAutospacing="0" w:before="240" w:lineRule="auto"/>
        <w:ind w:left="720" w:hanging="360"/>
      </w:pPr>
      <w:r>
        <w:rPr>
          <w:rFonts w:ascii="Times New Roman" w:cs="Times New Roman" w:eastAsia="Times New Roman" w:hAnsi="Times New Roman"/>
          <w:b w:val="1"/>
          <w:bCs w:val="1"/>
          <w:rtl w:val="0"/>
        </w:rPr>
        <w:t xml:space="preserve">Risk of geographic over-interpretation</w:t>
      </w:r>
      <w:r>
        <w:rPr>
          <w:rFonts w:ascii="Times New Roman" w:cs="Times New Roman" w:eastAsia="Times New Roman" w:hAnsi="Times New Roman"/>
          <w:rtl w:val="0"/>
        </w:rPr>
        <w:t xml:space="preserve">: because permutation importance shows location contributes almost nothing, a planner could still misread the risk map as location-driven. Mitigation: every location-based chart carries an explicit caption stating this, and the feature-importance view is one click away.</w:t>
      </w:r>
    </w:p>
    <w:p>
      <w:pPr>
        <w:numPr>
          <w:ilvl w:val="0"/>
          <w:numId w:val="12"/>
        </w:numPr>
        <w:spacing w:after="0" w:afterAutospacing="0" w:before="240" w:lineRule="auto"/>
        <w:ind w:left="720" w:hanging="360"/>
      </w:pPr>
      <w:r>
        <w:rPr>
          <w:rFonts w:ascii="Times New Roman" w:cs="Times New Roman" w:eastAsia="Times New Roman" w:hAnsi="Times New Roman"/>
          <w:b w:val="1"/>
          <w:bCs w:val="1"/>
          <w:rtl w:val="0"/>
        </w:rPr>
        <w:t xml:space="preserve">No persistent feedback logging</w:t>
      </w:r>
      <w:r>
        <w:rPr>
          <w:rFonts w:ascii="Times New Roman" w:cs="Times New Roman" w:eastAsia="Times New Roman" w:hAnsi="Times New Roman"/>
          <w:rtl w:val="0"/>
        </w:rPr>
        <w:t xml:space="preserve">: the accept/reject panel does not currently save a planner's review across sessions, a scope decision made to avoid standing up a database for the MVP. If user testing shows planners want a persistent audit trail, the panel already isolates that logic behind a single point that a lightweight backend could intercept later.</w:t>
      </w:r>
    </w:p>
    <w:p>
      <w:pPr>
        <w:numPr>
          <w:ilvl w:val="0"/>
          <w:numId w:val="12"/>
        </w:numPr>
        <w:spacing w:after="0" w:afterAutospacing="0" w:before="240" w:lineRule="auto"/>
        <w:ind w:left="720" w:hanging="360"/>
      </w:pPr>
      <w:r>
        <w:rPr>
          <w:rFonts w:ascii="Times New Roman" w:cs="Times New Roman" w:eastAsia="Times New Roman" w:hAnsi="Times New Roman"/>
          <w:b w:val="1"/>
          <w:bCs w:val="1"/>
          <w:rtl w:val="0"/>
        </w:rPr>
        <w:t xml:space="preserve">Third-party dependency risk</w:t>
      </w:r>
      <w:r>
        <w:rPr>
          <w:rFonts w:ascii="Times New Roman" w:cs="Times New Roman" w:eastAsia="Times New Roman" w:hAnsi="Times New Roman"/>
          <w:rtl w:val="0"/>
        </w:rPr>
        <w:t xml:space="preserve">: the two crash-level maps depend on a content-delivery network for their plotting library. If that CDN is unreachable, the rest of the dashboard — which uses no external dependencies — still functions, limiting the impact of any single external failure.</w:t>
      </w:r>
    </w:p>
    <w:p>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Evidence of Feasibility</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A working prototype is live and demonstrable rather than mocked up, at [insert live prototype URL]. It consists of a tab-based dashboard shell in front of eight linked pages:</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Observed crash severity</w:t>
      </w:r>
      <w:r>
        <w:rPr>
          <w:rFonts w:ascii="Times New Roman" w:cs="Times New Roman" w:eastAsia="Times New Roman" w:hAnsi="Times New Roman"/>
          <w:rtl w:val="0"/>
        </w:rPr>
        <w:t xml:space="preserve"> — every 2024 crash by recorded outcome</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Predicted risk, by crash</w:t>
      </w:r>
      <w:r>
        <w:rPr>
          <w:rFonts w:ascii="Times New Roman" w:cs="Times New Roman" w:eastAsia="Times New Roman" w:hAnsi="Times New Roman"/>
          <w:rtl w:val="0"/>
        </w:rPr>
        <w:t xml:space="preserve"> — the same crashes recoloured by predicted risk</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Predicted risk, by council area</w:t>
      </w:r>
      <w:r>
        <w:rPr>
          <w:rFonts w:ascii="Times New Roman" w:cs="Times New Roman" w:eastAsia="Times New Roman" w:hAnsi="Times New Roman"/>
          <w:rtl w:val="0"/>
        </w:rPr>
        <w:t xml:space="preserve"> — mean predicted risk aggregated to LGA level</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Highest-risk council areas</w:t>
      </w:r>
      <w:r>
        <w:rPr>
          <w:rFonts w:ascii="Times New Roman" w:cs="Times New Roman" w:eastAsia="Times New Roman" w:hAnsi="Times New Roman"/>
          <w:rtl w:val="0"/>
        </w:rPr>
        <w:t xml:space="preserve"> — the ranked shortlist of the fifteen highest-risk LGAs</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Risk factors explorer</w:t>
      </w:r>
      <w:r>
        <w:rPr>
          <w:rFonts w:ascii="Times New Roman" w:cs="Times New Roman" w:eastAsia="Times New Roman" w:hAnsi="Times New Roman"/>
          <w:rtl w:val="0"/>
        </w:rPr>
        <w:t xml:space="preserve"> — crash counts across weather, speed limit, lighting and urbanisation</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What the model relies on</w:t>
      </w:r>
      <w:r>
        <w:rPr>
          <w:rFonts w:ascii="Times New Roman" w:cs="Times New Roman" w:eastAsia="Times New Roman" w:hAnsi="Times New Roman"/>
          <w:rtl w:val="0"/>
        </w:rPr>
        <w:t xml:space="preserve"> — the permutation-importance explanation</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Do the risk bands hold up?</w:t>
      </w:r>
      <w:r>
        <w:rPr>
          <w:rFonts w:ascii="Times New Roman" w:cs="Times New Roman" w:eastAsia="Times New Roman" w:hAnsi="Times New Roman"/>
          <w:rtl w:val="0"/>
        </w:rPr>
        <w:t xml:space="preserve"> — the predicted-versus-observed validation view</w:t>
      </w:r>
    </w:p>
    <w:p>
      <w:pPr>
        <w:numPr>
          <w:ilvl w:val="0"/>
          <w:numId w:val="13"/>
        </w:numPr>
        <w:spacing w:after="0" w:afterAutospacing="0" w:before="240" w:lineRule="auto"/>
        <w:ind w:left="720" w:hanging="360"/>
      </w:pPr>
      <w:r>
        <w:rPr>
          <w:rFonts w:ascii="Times New Roman" w:cs="Times New Roman" w:eastAsia="Times New Roman" w:hAnsi="Times New Roman"/>
          <w:b w:val="1"/>
          <w:bCs w:val="1"/>
          <w:rtl w:val="0"/>
        </w:rPr>
        <w:t xml:space="preserve">Review predictions</w:t>
      </w:r>
      <w:r>
        <w:rPr>
          <w:rFonts w:ascii="Times New Roman" w:cs="Times New Roman" w:eastAsia="Times New Roman" w:hAnsi="Times New Roman"/>
          <w:rtl w:val="0"/>
        </w:rPr>
        <w:t xml:space="preserve"> — the accept/reject feedback panel</w:t>
      </w:r>
    </w:p>
    <w:p>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Every page is interactive (hover, filter, drag or toggle) and cites its data source and modelling method directly on the page, so a marker can verify the underlying evidence without leaving the browser.</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cox0iss1jyj" w:id="13"/>
      <w:bookmarkEnd w:id="13"/>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Tibshirani, R., &amp; Friedman, J. (2009). </w:t>
      </w:r>
      <w:r w:rsidDel="00000000" w:rsidR="00000000" w:rsidRPr="00000000">
        <w:rPr>
          <w:rFonts w:ascii="Times New Roman" w:cs="Times New Roman" w:eastAsia="Times New Roman" w:hAnsi="Times New Roman"/>
          <w:i w:val="1"/>
          <w:iCs w:val="1"/>
          <w:rtl w:val="0"/>
        </w:rPr>
        <w:t xml:space="preserve">The elements of statistical learning: Data mining, inference, and prediction</w:t>
      </w:r>
      <w:r w:rsidDel="00000000" w:rsidR="00000000" w:rsidRPr="00000000">
        <w:rPr>
          <w:rFonts w:ascii="Times New Roman" w:cs="Times New Roman" w:eastAsia="Times New Roman" w:hAnsi="Times New Roman"/>
          <w:rtl w:val="0"/>
        </w:rPr>
        <w:t xml:space="preserve"> (2nd ed.). Springer.</w:t>
      </w:r>
    </w:p>
    <w:p w:rsidR="00000000" w:rsidDel="00000000" w:rsidP="00000000" w:rsidRDefault="00000000" w:rsidRPr="00000000" w14:paraId="0000004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Transport for NSW. (2024). </w:t>
      </w:r>
      <w:r w:rsidDel="00000000" w:rsidR="00000000" w:rsidRPr="00000000">
        <w:rPr>
          <w:rFonts w:ascii="Times New Roman" w:cs="Times New Roman" w:eastAsia="Times New Roman" w:hAnsi="Times New Roman"/>
          <w:i w:val="1"/>
          <w:iCs w:val="1"/>
          <w:rtl w:val="0"/>
        </w:rPr>
        <w:t xml:space="preserve">Road trauma Australia 2024 statistical summary</w:t>
      </w:r>
      <w:r w:rsidDel="00000000" w:rsidR="00000000" w:rsidRPr="00000000">
        <w:rPr>
          <w:rFonts w:ascii="Times New Roman" w:cs="Times New Roman" w:eastAsia="Times New Roman" w:hAnsi="Times New Roman"/>
          <w:rtl w:val="0"/>
        </w:rPr>
        <w:t xml:space="preserve">. NSW Government.</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https://www.transport.nsw.gov.au/roadsafety</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ransport.nsw.gov.au/roadsafety" TargetMode="External"/><Relationship Id="rId7" Type="http://schemas.openxmlformats.org/officeDocument/2006/relationships/hyperlink" Target="https://www.transport.nsw.gov.au/road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