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6A7" w:rsidRDefault="000C65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5144" cy="4993078"/>
            <wp:effectExtent l="971550" t="0" r="953456" b="0"/>
            <wp:docPr id="1" name="圖片 0" descr="S__107511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10751184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1927" cy="50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A7" w:rsidRDefault="00C846A7">
      <w:pPr>
        <w:rPr>
          <w:rFonts w:hint="eastAsia"/>
        </w:rPr>
      </w:pPr>
      <w:r>
        <w:rPr>
          <w:rFonts w:hint="eastAsia"/>
        </w:rPr>
        <w:t>8.</w:t>
      </w:r>
    </w:p>
    <w:p w:rsidR="00C846A7" w:rsidRPr="00C846A7" w:rsidRDefault="00C846A7">
      <w:pPr>
        <w:rPr>
          <w:rFonts w:ascii="標楷體" w:eastAsia="標楷體" w:hAnsi="標楷體" w:hint="eastAsia"/>
        </w:rPr>
      </w:pPr>
      <w:r w:rsidRPr="00C846A7">
        <w:rPr>
          <w:rFonts w:ascii="標楷體" w:eastAsia="標楷體" w:hAnsi="標楷體" w:hint="eastAsia"/>
        </w:rPr>
        <w:t>(1)假如此賽局只玩一次，NBC&amp;ABC都會選擇廣告，而且每一家都會賺100</w:t>
      </w:r>
    </w:p>
    <w:p w:rsidR="00C846A7" w:rsidRPr="00C846A7" w:rsidRDefault="00C846A7" w:rsidP="00C846A7">
      <w:pPr>
        <w:tabs>
          <w:tab w:val="left" w:pos="750"/>
        </w:tabs>
        <w:rPr>
          <w:rFonts w:ascii="標楷體" w:eastAsia="標楷體" w:hAnsi="標楷體" w:hint="eastAsia"/>
        </w:rPr>
      </w:pPr>
      <w:r w:rsidRPr="00C846A7">
        <w:rPr>
          <w:rFonts w:ascii="標楷體" w:eastAsia="標楷體" w:hAnsi="標楷體" w:hint="eastAsia"/>
        </w:rPr>
        <w:t>(2)假如ABC&amp;NBC均採取</w:t>
      </w:r>
      <w:proofErr w:type="gramStart"/>
      <w:r w:rsidRPr="00C846A7">
        <w:rPr>
          <w:rFonts w:ascii="標楷體" w:eastAsia="標楷體" w:hAnsi="標楷體" w:hint="eastAsia"/>
        </w:rPr>
        <w:t>不</w:t>
      </w:r>
      <w:proofErr w:type="gramEnd"/>
      <w:r w:rsidRPr="00C846A7">
        <w:rPr>
          <w:rFonts w:ascii="標楷體" w:eastAsia="標楷體" w:hAnsi="標楷體" w:hint="eastAsia"/>
        </w:rPr>
        <w:t>廣告策略，前時期的利潤為</w:t>
      </w:r>
      <w:r w:rsidRPr="00C846A7"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  <w:t>π</w:t>
      </w:r>
      <w:r w:rsidRPr="00C846A7">
        <w:rPr>
          <w:rStyle w:val="style2"/>
          <w:rFonts w:ascii="標楷體" w:eastAsia="標楷體" w:hAnsi="標楷體" w:cs="Times New Roman" w:hint="eastAsia"/>
          <w:color w:val="000000"/>
          <w:spacing w:val="30"/>
          <w:szCs w:val="24"/>
          <w:shd w:val="clear" w:color="auto" w:fill="FFFFFF"/>
        </w:rPr>
        <w:t> NBC</w:t>
      </w:r>
      <w:r w:rsidRPr="00C846A7">
        <w:rPr>
          <w:rStyle w:val="style2"/>
          <w:rFonts w:ascii="標楷體" w:eastAsia="標楷體" w:hAnsi="標楷體" w:cs="Times New Roman" w:hint="eastAsia"/>
          <w:color w:val="000000"/>
          <w:spacing w:val="30"/>
          <w:sz w:val="27"/>
          <w:szCs w:val="27"/>
          <w:shd w:val="clear" w:color="auto" w:fill="FFFFFF"/>
        </w:rPr>
        <w:t> </w:t>
      </w:r>
      <w:r w:rsidRPr="00C846A7">
        <w:rPr>
          <w:rFonts w:ascii="標楷體" w:eastAsia="標楷體" w:hAnsi="標楷體" w:hint="eastAsia"/>
        </w:rPr>
        <w:t>=10X200=2000</w:t>
      </w:r>
    </w:p>
    <w:p w:rsidR="00C846A7" w:rsidRPr="00C846A7" w:rsidRDefault="00C846A7" w:rsidP="00C846A7">
      <w:pPr>
        <w:tabs>
          <w:tab w:val="left" w:pos="750"/>
        </w:tabs>
        <w:rPr>
          <w:rStyle w:val="style2"/>
          <w:rFonts w:ascii="標楷體" w:eastAsia="標楷體" w:hAnsi="標楷體" w:cs="Times New Roman" w:hint="eastAsia"/>
          <w:color w:val="000000"/>
          <w:spacing w:val="30"/>
          <w:szCs w:val="24"/>
          <w:shd w:val="clear" w:color="auto" w:fill="FFFFFF"/>
        </w:rPr>
      </w:pPr>
      <w:r w:rsidRPr="00C846A7">
        <w:rPr>
          <w:rFonts w:ascii="標楷體" w:eastAsia="標楷體" w:hAnsi="標楷體" w:hint="eastAsia"/>
        </w:rPr>
        <w:t>假如NBC嘗試著利用ABC於第一期選擇</w:t>
      </w:r>
      <w:proofErr w:type="gramStart"/>
      <w:r w:rsidRPr="00C846A7">
        <w:rPr>
          <w:rFonts w:ascii="標楷體" w:eastAsia="標楷體" w:hAnsi="標楷體" w:hint="eastAsia"/>
        </w:rPr>
        <w:t>不</w:t>
      </w:r>
      <w:proofErr w:type="gramEnd"/>
      <w:r w:rsidRPr="00C846A7">
        <w:rPr>
          <w:rFonts w:ascii="標楷體" w:eastAsia="標楷體" w:hAnsi="標楷體" w:hint="eastAsia"/>
        </w:rPr>
        <w:t>廣告時，趁機於第一期廣告賺300，但ABC在往後的每期都會進行報復，則其利潤為:</w:t>
      </w:r>
      <w:r w:rsidRPr="00C846A7">
        <w:rPr>
          <w:rFonts w:ascii="標楷體" w:eastAsia="標楷體" w:hAnsi="標楷體" w:hint="eastAsia"/>
          <w:szCs w:val="24"/>
        </w:rPr>
        <w:t xml:space="preserve"> </w:t>
      </w:r>
      <w:r w:rsidRPr="00C846A7"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  <w:t>π</w:t>
      </w:r>
      <w:r w:rsidRPr="00C846A7">
        <w:rPr>
          <w:rStyle w:val="style2"/>
          <w:rFonts w:ascii="標楷體" w:eastAsia="標楷體" w:hAnsi="標楷體" w:cs="Times New Roman" w:hint="eastAsia"/>
          <w:color w:val="000000"/>
          <w:spacing w:val="30"/>
          <w:szCs w:val="24"/>
          <w:shd w:val="clear" w:color="auto" w:fill="FFFFFF"/>
        </w:rPr>
        <w:t> NBC=300+9X100=1200</w:t>
      </w:r>
    </w:p>
    <w:p w:rsidR="00C846A7" w:rsidRPr="00C846A7" w:rsidRDefault="00C846A7" w:rsidP="00C846A7">
      <w:pPr>
        <w:tabs>
          <w:tab w:val="left" w:pos="750"/>
        </w:tabs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</w:pPr>
      <w:r w:rsidRPr="00C846A7">
        <w:rPr>
          <w:rStyle w:val="style2"/>
          <w:rFonts w:ascii="標楷體" w:eastAsia="標楷體" w:hAnsi="標楷體" w:cs="Times New Roman" w:hint="eastAsia"/>
          <w:color w:val="000000"/>
          <w:spacing w:val="30"/>
          <w:szCs w:val="24"/>
          <w:shd w:val="clear" w:color="auto" w:fill="FFFFFF"/>
        </w:rPr>
        <w:t>所以NBC會採取</w:t>
      </w:r>
      <w:proofErr w:type="gramStart"/>
      <w:r w:rsidRPr="00C846A7"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  <w:t>不</w:t>
      </w:r>
      <w:proofErr w:type="gramEnd"/>
      <w:r w:rsidRPr="00C846A7"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  <w:t>廣告的策略。</w:t>
      </w:r>
    </w:p>
    <w:p w:rsidR="00C846A7" w:rsidRPr="00C846A7" w:rsidRDefault="00C846A7" w:rsidP="00C846A7">
      <w:pPr>
        <w:tabs>
          <w:tab w:val="left" w:pos="750"/>
        </w:tabs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</w:pPr>
    </w:p>
    <w:p w:rsidR="00C846A7" w:rsidRPr="00C846A7" w:rsidRDefault="00C846A7" w:rsidP="00C846A7">
      <w:pPr>
        <w:tabs>
          <w:tab w:val="left" w:pos="750"/>
        </w:tabs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</w:pPr>
      <w:r w:rsidRPr="00C846A7"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  <w:t>8.</w:t>
      </w:r>
    </w:p>
    <w:p w:rsidR="00C846A7" w:rsidRDefault="00C846A7" w:rsidP="00C846A7">
      <w:pPr>
        <w:tabs>
          <w:tab w:val="left" w:pos="750"/>
        </w:tabs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</w:pPr>
      <w:r w:rsidRPr="00C846A7"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  <w:t>(1)A&amp;B的Nash均衡策略為(折扣價 折扣價)</w:t>
      </w:r>
    </w:p>
    <w:p w:rsidR="00C846A7" w:rsidRDefault="00C846A7" w:rsidP="00C846A7">
      <w:pPr>
        <w:tabs>
          <w:tab w:val="left" w:pos="750"/>
        </w:tabs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</w:pPr>
      <w:r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  <w:t>(2)B選擇遵守合作案下的報酬為</w:t>
      </w:r>
    </w:p>
    <w:p w:rsidR="00C846A7" w:rsidRDefault="00C846A7" w:rsidP="00C846A7">
      <w:pPr>
        <w:tabs>
          <w:tab w:val="left" w:pos="750"/>
        </w:tabs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</w:pPr>
      <w:r w:rsidRPr="00C846A7"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π</w:t>
      </w:r>
      <w:r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B=50+50/1+0.5+</w:t>
      </w:r>
      <w:r w:rsidR="00830A09">
        <w:rPr>
          <w:rStyle w:val="style2"/>
          <w:rFonts w:ascii="微軟正黑體" w:eastAsia="微軟正黑體" w:hAnsi="微軟正黑體"/>
          <w:color w:val="000000"/>
          <w:spacing w:val="30"/>
          <w:szCs w:val="24"/>
          <w:shd w:val="clear" w:color="auto" w:fill="FFFFFF"/>
        </w:rPr>
        <w:t>…</w:t>
      </w:r>
      <w:proofErr w:type="gramStart"/>
      <w:r w:rsidR="00830A09">
        <w:rPr>
          <w:rStyle w:val="style2"/>
          <w:rFonts w:ascii="微軟正黑體" w:eastAsia="微軟正黑體" w:hAnsi="微軟正黑體"/>
          <w:color w:val="000000"/>
          <w:spacing w:val="30"/>
          <w:szCs w:val="24"/>
          <w:shd w:val="clear" w:color="auto" w:fill="FFFFFF"/>
        </w:rPr>
        <w:t>…</w:t>
      </w:r>
      <w:proofErr w:type="gramEnd"/>
      <w:r w:rsidR="00830A09"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.+50</w:t>
      </w:r>
      <w:proofErr w:type="gramStart"/>
      <w:r w:rsidR="00830A09"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/(</w:t>
      </w:r>
      <w:proofErr w:type="gramEnd"/>
      <w:r w:rsidR="00830A09"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1-1/0.5)=150</w:t>
      </w:r>
    </w:p>
    <w:p w:rsidR="00830A09" w:rsidRDefault="00830A09" w:rsidP="00830A09">
      <w:pPr>
        <w:tabs>
          <w:tab w:val="left" w:pos="750"/>
        </w:tabs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</w:pPr>
      <w:r>
        <w:rPr>
          <w:rStyle w:val="style2"/>
          <w:rFonts w:ascii="標楷體" w:eastAsia="標楷體" w:hAnsi="標楷體" w:hint="eastAsia"/>
          <w:color w:val="000000"/>
          <w:spacing w:val="30"/>
          <w:szCs w:val="24"/>
          <w:shd w:val="clear" w:color="auto" w:fill="FFFFFF"/>
        </w:rPr>
        <w:t>B選擇背離合作案下的報酬為</w:t>
      </w:r>
    </w:p>
    <w:p w:rsidR="00830A09" w:rsidRDefault="00830A09" w:rsidP="00C846A7">
      <w:pPr>
        <w:tabs>
          <w:tab w:val="left" w:pos="750"/>
        </w:tabs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</w:pPr>
      <w:r w:rsidRPr="00C846A7"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π</w:t>
      </w:r>
      <w:proofErr w:type="gramStart"/>
      <w:r>
        <w:rPr>
          <w:rStyle w:val="style2"/>
          <w:rFonts w:ascii="微軟正黑體" w:eastAsia="微軟正黑體" w:hAnsi="微軟正黑體"/>
          <w:color w:val="000000"/>
          <w:spacing w:val="30"/>
          <w:szCs w:val="24"/>
          <w:shd w:val="clear" w:color="auto" w:fill="FFFFFF"/>
        </w:rPr>
        <w:t>’</w:t>
      </w:r>
      <w:proofErr w:type="gramEnd"/>
      <w:r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B=100+30/1+0.5</w:t>
      </w:r>
      <w:r>
        <w:rPr>
          <w:rStyle w:val="style2"/>
          <w:rFonts w:ascii="微軟正黑體" w:eastAsia="微軟正黑體" w:hAnsi="微軟正黑體"/>
          <w:color w:val="000000"/>
          <w:spacing w:val="30"/>
          <w:szCs w:val="24"/>
          <w:shd w:val="clear" w:color="auto" w:fill="FFFFFF"/>
        </w:rPr>
        <w:t>…</w:t>
      </w:r>
      <w:r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.=100+(30/1+0.5)/1/(1/1+0.5)=160&gt;</w:t>
      </w:r>
      <w:r w:rsidRPr="00C846A7"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π</w:t>
      </w:r>
      <w:r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B(=150);可知B有誘因背叛該合作案，所以本合作案將會破局</w:t>
      </w:r>
    </w:p>
    <w:p w:rsidR="00830A09" w:rsidRDefault="00830A09" w:rsidP="00C846A7">
      <w:pPr>
        <w:tabs>
          <w:tab w:val="left" w:pos="750"/>
        </w:tabs>
        <w:rPr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lastRenderedPageBreak/>
        <w:t>(3)選擇背離合作案下的報酬為:</w:t>
      </w:r>
    </w:p>
    <w:p w:rsidR="00830A09" w:rsidRDefault="00830A09" w:rsidP="00C846A7">
      <w:pPr>
        <w:tabs>
          <w:tab w:val="left" w:pos="750"/>
        </w:tabs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</w:pPr>
      <w:r w:rsidRPr="00C846A7"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π</w:t>
      </w:r>
      <w:proofErr w:type="gramStart"/>
      <w:r>
        <w:rPr>
          <w:rStyle w:val="style2"/>
          <w:rFonts w:ascii="微軟正黑體" w:eastAsia="微軟正黑體" w:hAnsi="微軟正黑體"/>
          <w:color w:val="000000"/>
          <w:spacing w:val="30"/>
          <w:szCs w:val="24"/>
          <w:shd w:val="clear" w:color="auto" w:fill="FFFFFF"/>
        </w:rPr>
        <w:t>’</w:t>
      </w:r>
      <w:proofErr w:type="gramEnd"/>
      <w:r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B=100+30/1+r+</w:t>
      </w:r>
      <w:r>
        <w:rPr>
          <w:rStyle w:val="style2"/>
          <w:rFonts w:ascii="微軟正黑體" w:eastAsia="微軟正黑體" w:hAnsi="微軟正黑體"/>
          <w:color w:val="000000"/>
          <w:spacing w:val="30"/>
          <w:szCs w:val="24"/>
          <w:shd w:val="clear" w:color="auto" w:fill="FFFFFF"/>
        </w:rPr>
        <w:t>…</w:t>
      </w:r>
      <w:r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..=100+(30/1+r)/1-(1/1+r)=100+30/r</w:t>
      </w:r>
    </w:p>
    <w:p w:rsidR="00830A09" w:rsidRDefault="00830A09" w:rsidP="00C846A7">
      <w:pPr>
        <w:tabs>
          <w:tab w:val="left" w:pos="750"/>
        </w:tabs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</w:pPr>
      <w:r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如果B選擇會遵守合作案，則須符合下列之條件</w:t>
      </w:r>
    </w:p>
    <w:p w:rsidR="00830A09" w:rsidRDefault="00830A09" w:rsidP="00C846A7">
      <w:pPr>
        <w:tabs>
          <w:tab w:val="left" w:pos="750"/>
        </w:tabs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</w:pPr>
      <w:r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{</w:t>
      </w:r>
      <w:r w:rsidRPr="00C846A7"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π</w:t>
      </w:r>
      <w:r>
        <w:rPr>
          <w:rStyle w:val="style2"/>
          <w:rFonts w:ascii="微軟正黑體" w:eastAsia="微軟正黑體" w:hAnsi="微軟正黑體" w:hint="eastAsia"/>
          <w:b/>
          <w:color w:val="000000"/>
          <w:spacing w:val="30"/>
          <w:szCs w:val="24"/>
          <w:shd w:val="clear" w:color="auto" w:fill="FFFFFF"/>
        </w:rPr>
        <w:t>B=50(1+r)/r</w:t>
      </w:r>
      <w:r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}&gt;{</w:t>
      </w:r>
      <w:r w:rsidRPr="00C846A7"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π</w:t>
      </w:r>
      <w:proofErr w:type="gramStart"/>
      <w:r>
        <w:rPr>
          <w:rStyle w:val="style2"/>
          <w:rFonts w:ascii="微軟正黑體" w:eastAsia="微軟正黑體" w:hAnsi="微軟正黑體"/>
          <w:color w:val="000000"/>
          <w:spacing w:val="30"/>
          <w:szCs w:val="24"/>
          <w:shd w:val="clear" w:color="auto" w:fill="FFFFFF"/>
        </w:rPr>
        <w:t>’</w:t>
      </w:r>
      <w:proofErr w:type="gramEnd"/>
      <w:r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B=100+30/r}=&gt;{50+50r}&gt;{100r+30}=</w:t>
      </w:r>
    </w:p>
    <w:p w:rsidR="00830A09" w:rsidRDefault="00830A09" w:rsidP="00C846A7">
      <w:pPr>
        <w:tabs>
          <w:tab w:val="left" w:pos="750"/>
        </w:tabs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</w:pPr>
      <w:r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r&lt;40%</w:t>
      </w:r>
    </w:p>
    <w:p w:rsidR="00830A09" w:rsidRPr="00830A09" w:rsidRDefault="00830A09" w:rsidP="00C846A7">
      <w:pPr>
        <w:tabs>
          <w:tab w:val="left" w:pos="750"/>
        </w:tabs>
        <w:rPr>
          <w:rFonts w:ascii="微軟正黑體" w:eastAsia="微軟正黑體" w:hAnsi="微軟正黑體"/>
          <w:color w:val="000000"/>
          <w:spacing w:val="30"/>
          <w:szCs w:val="24"/>
          <w:shd w:val="clear" w:color="auto" w:fill="FFFFFF"/>
        </w:rPr>
      </w:pPr>
      <w:r>
        <w:rPr>
          <w:rStyle w:val="style2"/>
          <w:rFonts w:ascii="微軟正黑體" w:eastAsia="微軟正黑體" w:hAnsi="微軟正黑體" w:hint="eastAsia"/>
          <w:color w:val="000000"/>
          <w:spacing w:val="30"/>
          <w:szCs w:val="24"/>
          <w:shd w:val="clear" w:color="auto" w:fill="FFFFFF"/>
        </w:rPr>
        <w:t>亦即當跨期利率小於40%時，A&amp;B都沒有誘因被判對方，合作案得以順利進行。</w:t>
      </w:r>
    </w:p>
    <w:sectPr w:rsidR="00830A09" w:rsidRPr="00830A09" w:rsidSect="00B26B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652E"/>
    <w:rsid w:val="000C652E"/>
    <w:rsid w:val="00830A09"/>
    <w:rsid w:val="00B26BC6"/>
    <w:rsid w:val="00C8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B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5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652E"/>
    <w:rPr>
      <w:rFonts w:asciiTheme="majorHAnsi" w:eastAsiaTheme="majorEastAsia" w:hAnsiTheme="majorHAnsi" w:cstheme="majorBidi"/>
      <w:sz w:val="18"/>
      <w:szCs w:val="18"/>
    </w:rPr>
  </w:style>
  <w:style w:type="character" w:customStyle="1" w:styleId="style2">
    <w:name w:val="style2"/>
    <w:basedOn w:val="a0"/>
    <w:rsid w:val="00C84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2020-12-28T15:19:00Z</dcterms:created>
  <dcterms:modified xsi:type="dcterms:W3CDTF">2020-12-28T15:47:00Z</dcterms:modified>
</cp:coreProperties>
</file>