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7A69" w14:textId="2A67E592" w:rsidR="00570B35" w:rsidRDefault="003E63CE">
      <w:r w:rsidRPr="003E63CE">
        <w:t>https://www.bnext.com.tw/article/54461/gogoro-market-strategy</w:t>
      </w:r>
    </w:p>
    <w:sectPr w:rsidR="00570B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CE"/>
    <w:rsid w:val="003E63CE"/>
    <w:rsid w:val="0057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7C14"/>
  <w15:chartTrackingRefBased/>
  <w15:docId w15:val="{E2632EC6-203C-4450-8771-5FE88B7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高暐軒</dc:creator>
  <cp:keywords/>
  <dc:description/>
  <cp:lastModifiedBy>高暐軒</cp:lastModifiedBy>
  <cp:revision>1</cp:revision>
  <dcterms:created xsi:type="dcterms:W3CDTF">2021-05-31T15:29:00Z</dcterms:created>
  <dcterms:modified xsi:type="dcterms:W3CDTF">2021-05-31T15:30:00Z</dcterms:modified>
</cp:coreProperties>
</file>