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31" w:rsidRDefault="00B96B3F">
      <w:pPr>
        <w:rPr>
          <w:rFonts w:hint="eastAsia"/>
        </w:rPr>
      </w:pPr>
      <w:r>
        <w:rPr>
          <w:rFonts w:hint="eastAsia"/>
        </w:rPr>
        <w:t>不同的條件都會影響兩個雜誌的策略，像消費者偏好哪家雜誌，就會使原本的策略做出改變，價格的不同也會使兩家雜誌的利潤不同，同時也要研究對手的策略，判斷出對手的最佳策略，這也才能夠從中找出讓自己利潤最大化的策略。</w:t>
      </w:r>
      <w:bookmarkStart w:id="0" w:name="_GoBack"/>
      <w:bookmarkEnd w:id="0"/>
    </w:p>
    <w:sectPr w:rsidR="00CC06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3F"/>
    <w:rsid w:val="00B96B3F"/>
    <w:rsid w:val="00C869B6"/>
    <w:rsid w:val="00D55E7F"/>
    <w:rsid w:val="00EB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11EF6-D97D-4128-8203-C82E0519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2020-12-14T09:12:00Z</dcterms:created>
  <dcterms:modified xsi:type="dcterms:W3CDTF">2020-12-14T13:42:00Z</dcterms:modified>
</cp:coreProperties>
</file>