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79C" w:rsidRDefault="003D079C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兩個國家的稅前電子書價格都低於紙本書。</w:t>
      </w:r>
    </w:p>
    <w:p w:rsidR="003D079C" w:rsidRDefault="003D079C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在美國，電子書稅後的價格維持不變，所以Bob的預算線</w:t>
      </w:r>
      <w:r w:rsidR="000071BF">
        <w:rPr>
          <w:rFonts w:ascii="微軟正黑體" w:eastAsia="微軟正黑體" w:hAnsi="微軟正黑體" w:hint="eastAsia"/>
          <w:sz w:val="28"/>
          <w:szCs w:val="28"/>
        </w:rPr>
        <w:t>斜率</w:t>
      </w:r>
      <w:r>
        <w:rPr>
          <w:rFonts w:ascii="微軟正黑體" w:eastAsia="微軟正黑體" w:hAnsi="微軟正黑體" w:hint="eastAsia"/>
          <w:sz w:val="28"/>
          <w:szCs w:val="28"/>
        </w:rPr>
        <w:t>相對無異曲線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會變平</w:t>
      </w:r>
      <w:proofErr w:type="gramEnd"/>
      <w:r w:rsidR="000071BF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3D079C" w:rsidRDefault="003D079C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然而，由於德國的財稅政策將紙本書的利率訂定低於電子書</w:t>
      </w:r>
      <w:r w:rsidR="000071BF">
        <w:rPr>
          <w:rFonts w:ascii="微軟正黑體" w:eastAsia="微軟正黑體" w:hAnsi="微軟正黑體" w:hint="eastAsia"/>
          <w:sz w:val="28"/>
          <w:szCs w:val="28"/>
        </w:rPr>
        <w:t>，所以稅後電子書的價格會高於紙本書，Max的預算線斜率相對無異曲線會變更陡峭。</w:t>
      </w:r>
    </w:p>
    <w:p w:rsidR="000071BF" w:rsidRDefault="000071BF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根據以上分析，在美國，因為電子書取得較方便，再加上預算線的斜率變平，因此容易取代紙本書；反之，在德國，由於電子書有較高的稅率，使得預算線的斜率變陡峭，因此紙本書較不容易被取代。</w:t>
      </w:r>
    </w:p>
    <w:p w:rsidR="000071BF" w:rsidRPr="003D079C" w:rsidRDefault="000071BF">
      <w:pPr>
        <w:rPr>
          <w:rFonts w:ascii="微軟正黑體" w:eastAsia="微軟正黑體" w:hAnsi="微軟正黑體"/>
          <w:sz w:val="28"/>
          <w:szCs w:val="28"/>
        </w:rPr>
      </w:pPr>
    </w:p>
    <w:sectPr w:rsidR="000071BF" w:rsidRPr="003D079C" w:rsidSect="002060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079C"/>
    <w:rsid w:val="000071BF"/>
    <w:rsid w:val="002060E0"/>
    <w:rsid w:val="003D0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0E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2020-10-26T13:12:00Z</dcterms:created>
  <dcterms:modified xsi:type="dcterms:W3CDTF">2020-10-26T13:30:00Z</dcterms:modified>
</cp:coreProperties>
</file>