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命名实体识别技术详解</w:t>
      </w:r>
    </w:p>
    <w:p>
      <w:pPr>
        <w:pStyle w:val="Heading1"/>
      </w:pPr>
      <w:r>
        <w:t>1. NER概述</w:t>
      </w:r>
    </w:p>
    <w:p>
      <w:r>
        <w:t>命名实体识别（Named Entity Recognition，简称NER）是识别文本中具有特定意义的实体的任务。</w:t>
      </w:r>
    </w:p>
    <w:p>
      <w:pPr>
        <w:pStyle w:val="Heading1"/>
      </w:pPr>
      <w:r>
        <w:t>2. 实体类型</w:t>
      </w:r>
    </w:p>
    <w:p>
      <w:r>
        <w:t>常见的实体类型包括人名、地名、组织机构名、时间、日期、数字等。</w:t>
      </w:r>
    </w:p>
    <w:p>
      <w:pPr>
        <w:pStyle w:val="Heading1"/>
      </w:pPr>
      <w:r>
        <w:t>3. NER方法</w:t>
      </w:r>
    </w:p>
    <w:p>
      <w:r>
        <w:t>传统方法基于规则和机器学习，现代方法使用深度学习模型如BiLSTM-CRF、BERT等。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