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GraphRL-Sec</w:t>
      </w:r>
    </w:p>
    <w:p>
      <w:pPr>
        <w:pBdr>
          <w:bottom w:val="single" w:color="2E75B6" w:sz="6" w:space="1"/>
        </w:pBdr>
        <w:spacing w:after="100"/>
        <w:jc w:val="center"/>
      </w:pPr>
    </w:p>
    <w:p>
      <w:pPr>
        <w:spacing w:after="200" w:before="200"/>
        <w:jc w:val="center"/>
      </w:pPr>
      <w:r>
        <w:rPr>
          <w:rFonts w:ascii="Arial" w:cs="Arial" w:eastAsia="Arial" w:hAnsi="Arial"/>
          <w:i/>
          <w:iCs/>
          <w:color w:val="2E75B6"/>
          <w:sz w:val="28"/>
          <w:szCs w:val="28"/>
        </w:rPr>
        <w:t xml:space="preserve">Adaptive Cybersecurity Threat Intelligence System using GNN-Reinforced Deep Learning and Federated SOC Analytics</w:t>
      </w:r>
    </w:p>
    <w:p>
      <w:pPr>
        <w:spacing w:before="400"/>
        <w:jc w:val="center"/>
      </w:pPr>
      <w:r>
        <w:rPr>
          <w:rFonts w:ascii="Arial" w:cs="Arial" w:eastAsia="Arial" w:hAnsi="Arial"/>
          <w:color w:val="2C2C2C"/>
          <w:sz w:val="26"/>
          <w:szCs w:val="26"/>
        </w:rPr>
        <w:t xml:space="preserve">M.Tech Dissertation Proposal</w:t>
      </w:r>
    </w:p>
    <w:p>
      <w:pPr>
        <w:spacing w:after="100" w:before="100"/>
        <w:jc w:val="center"/>
      </w:pPr>
      <w:r>
        <w:rPr>
          <w:rFonts w:ascii="Arial" w:cs="Arial" w:eastAsia="Arial" w:hAnsi="Arial"/>
          <w:color w:val="2C2C2C"/>
          <w:sz w:val="22"/>
          <w:szCs w:val="22"/>
        </w:rPr>
        <w:t xml:space="preserve">Specialization: Artificial Intelligence &amp; Machine Learning</w:t>
      </w:r>
    </w:p>
    <w:p>
      <w:pPr>
        <w:spacing w:before="300"/>
        <w:jc w:val="center"/>
      </w:pPr>
      <w:r>
        <w:rPr>
          <w:rFonts w:ascii="Arial" w:cs="Arial" w:eastAsia="Arial" w:hAnsi="Arial"/>
          <w:b/>
          <w:bCs/>
          <w:color w:val="1A1A2E"/>
          <w:sz w:val="24"/>
          <w:szCs w:val="24"/>
        </w:rPr>
        <w:t xml:space="preserve">Prepared by: Prince</w:t>
      </w:r>
    </w:p>
    <w:p>
      <w:pPr>
        <w:spacing w:before="100"/>
        <w:jc w:val="center"/>
      </w:pPr>
      <w:r>
        <w:rPr>
          <w:rFonts w:ascii="Arial" w:cs="Arial" w:eastAsia="Arial" w:hAnsi="Arial"/>
          <w:color w:val="2C2C2C"/>
          <w:sz w:val="22"/>
          <w:szCs w:val="22"/>
        </w:rPr>
        <w:t xml:space="preserve">March 2026</w:t>
      </w:r>
    </w:p>
    <w:p>
      <w:r>
        <w:br w:type="page"/>
      </w:r>
    </w:p>
    <w:p>
      <w:pPr>
        <w:pStyle w:val="Heading1"/>
      </w:pPr>
      <w:r>
        <w:t xml:space="preserve">1. Problem Statement</w:t>
      </w:r>
    </w:p>
    <w:p>
      <w:pPr>
        <w:spacing w:after="120" w:line="276"/>
      </w:pPr>
      <w:r>
        <w:rPr>
          <w:sz w:val="22"/>
          <w:szCs w:val="22"/>
        </w:rPr>
        <w:t xml:space="preserve">Modern Security Operations Centers (SOCs) are overwhelmed by alert fatigue — a typical enterprise SOC processes 10,000+ alerts daily, with false positive rates exceeding 80%. Current SIEM/SOAR systems rely on static rule-based detection and siloed analysis, failing to capture the graph-structured nature of cyber attacks (lateral movement, multi-stage campaigns, distributed infrastructure). There is no system that models the enterprise network as a dynamic graph, uses GNNs to detect anomalous structural patterns, employs deep RL to autonomously prioritize and triage alerts, and enables federated threat intelligence sharing across organizations without exposing sensitive network topology.</w:t>
      </w:r>
    </w:p>
    <w:p>
      <w:pPr>
        <w:pStyle w:val="Heading1"/>
      </w:pPr>
      <w:r>
        <w:t xml:space="preserve">2. Why This Problem Matters in Industry</w:t>
      </w:r>
    </w:p>
    <w:p>
      <w:pPr>
        <w:spacing w:after="120" w:line="276"/>
      </w:pPr>
      <w:r>
        <w:rPr>
          <w:sz w:val="22"/>
          <w:szCs w:val="22"/>
        </w:rPr>
        <w:t xml:space="preserve">Cybercrime costs are projected to reach $10.5T globally by 2025. The cybersecurity talent gap exceeds 3.5 million unfilled positions. SOC analysts spend 70% of their time on false positives. Enterprise CISOs need autonomous threat detection that reduces human triage burden by 10x while maintaining detection accuracy. The market for AI-powered security operations is growing at 25% CAGR, with major players (CrowdStrike, Palo Alto, SentinelOne) actively acquiring AI capabilities.</w:t>
      </w:r>
    </w:p>
    <w:p>
      <w:pPr>
        <w:pStyle w:val="Heading1"/>
      </w:pPr>
      <w:r>
        <w:t xml:space="preserve">3. Research Gap</w:t>
      </w:r>
    </w:p>
    <w:p>
      <w:pPr>
        <w:pStyle w:val="ListParagraph"/>
        <w:numPr>
          <w:ilvl w:val="0"/>
          <w:numId w:val="2"/>
        </w:numPr>
        <w:spacing w:after="80" w:line="276"/>
      </w:pPr>
      <w:r>
        <w:rPr>
          <w:sz w:val="22"/>
          <w:szCs w:val="22"/>
        </w:rPr>
        <w:t xml:space="preserve">GNN-based network intrusion detection exists (e.g., E-GraphSAGE) but doesn't model temporal dynamics of evolving attacks.</w:t>
      </w:r>
    </w:p>
    <w:p>
      <w:pPr>
        <w:pStyle w:val="ListParagraph"/>
        <w:numPr>
          <w:ilvl w:val="0"/>
          <w:numId w:val="2"/>
        </w:numPr>
        <w:spacing w:after="80" w:line="276"/>
      </w:pPr>
      <w:r>
        <w:rPr>
          <w:sz w:val="22"/>
          <w:szCs w:val="22"/>
        </w:rPr>
        <w:t xml:space="preserve">RL for alert triage has been explored in isolation but not integrated with graph-based attack modeling.</w:t>
      </w:r>
    </w:p>
    <w:p>
      <w:pPr>
        <w:pStyle w:val="ListParagraph"/>
        <w:numPr>
          <w:ilvl w:val="0"/>
          <w:numId w:val="2"/>
        </w:numPr>
        <w:spacing w:after="80" w:line="276"/>
      </w:pPr>
      <w:r>
        <w:rPr>
          <w:sz w:val="22"/>
          <w:szCs w:val="22"/>
        </w:rPr>
        <w:t xml:space="preserve">Federated threat intelligence sharing assumes homogeneous network structures, ignoring topology heterogeneity.</w:t>
      </w:r>
    </w:p>
    <w:p>
      <w:pPr>
        <w:pStyle w:val="ListParagraph"/>
        <w:numPr>
          <w:ilvl w:val="0"/>
          <w:numId w:val="2"/>
        </w:numPr>
        <w:spacing w:after="80" w:line="276"/>
      </w:pPr>
      <w:r>
        <w:rPr>
          <w:sz w:val="22"/>
          <w:szCs w:val="22"/>
        </w:rPr>
        <w:t xml:space="preserve">Self-supervised pre-training for network traffic graphs is unexplored — models are trained from scratch on each deployment.</w:t>
      </w:r>
    </w:p>
    <w:p>
      <w:pPr>
        <w:pStyle w:val="ListParagraph"/>
        <w:numPr>
          <w:ilvl w:val="0"/>
          <w:numId w:val="2"/>
        </w:numPr>
        <w:spacing w:after="80" w:line="276"/>
      </w:pPr>
      <w:r>
        <w:rPr>
          <w:sz w:val="22"/>
          <w:szCs w:val="22"/>
        </w:rPr>
        <w:t xml:space="preserve">No system combines temporal GNNs, DRL-based triage, and federated cross-organization intelligence in a unified framework.</w:t>
      </w:r>
    </w:p>
    <w:p>
      <w:pPr>
        <w:pStyle w:val="Heading1"/>
      </w:pPr>
      <w:r>
        <w:t xml:space="preserve">4. Novel Contribution</w:t>
      </w:r>
    </w:p>
    <w:p>
      <w:pPr>
        <w:pStyle w:val="ListParagraph"/>
        <w:numPr>
          <w:ilvl w:val="0"/>
          <w:numId w:val="2"/>
        </w:numPr>
        <w:spacing w:after="80" w:line="276"/>
      </w:pPr>
      <w:r>
        <w:rPr>
          <w:sz w:val="22"/>
          <w:szCs w:val="22"/>
        </w:rPr>
        <w:t xml:space="preserve">Temporal Heterogeneous Graph Attention Network (T-HetGAT): A novel GNN architecture that processes dynamic network graphs with heterogeneous node types (hosts, users, services, IPs) and temporal edge features (connection timestamps, frequency, bytes transferred).</w:t>
      </w:r>
    </w:p>
    <w:p>
      <w:pPr>
        <w:pStyle w:val="ListParagraph"/>
        <w:numPr>
          <w:ilvl w:val="0"/>
          <w:numId w:val="2"/>
        </w:numPr>
        <w:spacing w:after="80" w:line="276"/>
      </w:pPr>
      <w:r>
        <w:rPr>
          <w:sz w:val="22"/>
          <w:szCs w:val="22"/>
        </w:rPr>
        <w:t xml:space="preserve">DRL Alert Triage Agent: A DQN-based agent that learns to prioritize, escalate, or dismiss alerts based on graph context, attack campaign state, and historical outcomes. The agent's state representation is the T-HetGAT embedding of the alert's local neighborhood.</w:t>
      </w:r>
    </w:p>
    <w:p>
      <w:pPr>
        <w:pStyle w:val="ListParagraph"/>
        <w:numPr>
          <w:ilvl w:val="0"/>
          <w:numId w:val="2"/>
        </w:numPr>
        <w:spacing w:after="80" w:line="276"/>
      </w:pPr>
      <w:r>
        <w:rPr>
          <w:sz w:val="22"/>
          <w:szCs w:val="22"/>
        </w:rPr>
        <w:t xml:space="preserve">Self-Supervised Network Pre-training: Contrastive learning on normal network behavior graphs to learn baseline representations. Anomaly detection becomes deviation from pre-trained normal embeddings.</w:t>
      </w:r>
    </w:p>
    <w:p>
      <w:pPr>
        <w:pStyle w:val="ListParagraph"/>
        <w:numPr>
          <w:ilvl w:val="0"/>
          <w:numId w:val="2"/>
        </w:numPr>
        <w:spacing w:after="80" w:line="276"/>
      </w:pPr>
      <w:r>
        <w:rPr>
          <w:sz w:val="22"/>
          <w:szCs w:val="22"/>
        </w:rPr>
        <w:t xml:space="preserve">Federated SOC Intelligence: Privacy-preserving sharing of learned threat patterns (not raw data) across organizations using federated learning with differential privacy and secure aggregation.</w:t>
      </w:r>
    </w:p>
    <w:p>
      <w:pPr>
        <w:pStyle w:val="ListParagraph"/>
        <w:numPr>
          <w:ilvl w:val="0"/>
          <w:numId w:val="2"/>
        </w:numPr>
        <w:spacing w:after="80" w:line="276"/>
      </w:pPr>
      <w:r>
        <w:rPr>
          <w:sz w:val="22"/>
          <w:szCs w:val="22"/>
        </w:rPr>
        <w:t xml:space="preserve">Attack Campaign Reconstruction: Graph-based clustering of related alerts into coherent attack narratives using community detection on the temporal attention graph.</w:t>
      </w:r>
    </w:p>
    <w:p>
      <w:pPr>
        <w:pStyle w:val="Heading1"/>
      </w:pPr>
      <w:r>
        <w:t xml:space="preserve">5. System Architecture</w:t>
      </w:r>
    </w:p>
    <w:p>
      <w:pPr>
        <w:pStyle w:val="Heading2"/>
      </w:pPr>
      <w:r>
        <w:t xml:space="preserve">5.1 Data Ingestion Layer</w:t>
      </w:r>
    </w:p>
    <w:p>
      <w:pPr>
        <w:spacing w:after="120" w:line="276"/>
      </w:pPr>
      <w:r>
        <w:rPr>
          <w:sz w:val="22"/>
          <w:szCs w:val="22"/>
        </w:rPr>
        <w:t xml:space="preserve">Rsyslog/RELP receivers collect logs from network devices, firewalls, endpoints, and applications. NetFlow/IPFIX collectors capture network traffic metadata. All data streams are normalized into a unified event schema and pushed to Apache Kafka topics. An Apache Flink pipeline performs real-time feature extraction and graph construction, updating the network graph in real-time.</w:t>
      </w:r>
    </w:p>
    <w:p>
      <w:pPr>
        <w:pStyle w:val="Heading2"/>
      </w:pPr>
      <w:r>
        <w:t xml:space="preserve">5.2 Dynamic Network Graph</w:t>
      </w:r>
    </w:p>
    <w:p>
      <w:pPr>
        <w:spacing w:after="120" w:line="276"/>
      </w:pPr>
      <w:r>
        <w:rPr>
          <w:sz w:val="22"/>
          <w:szCs w:val="22"/>
        </w:rPr>
        <w:t xml:space="preserve">The enterprise network is modeled as a temporal heterogeneous graph stored in a combination of Neo4j (persistent structure) and a custom in-memory graph engine (real-time updates). Node types: hosts, users, services, external IPs, domains. Edge types: connects-to, authenticates-as, queries-dns, transfers-data. Each edge carries temporal features: timestamp, duration, bytes, protocol. The graph is maintained as a sliding window (configurable, typically 24-72 hours) with periodic snapshots.</w:t>
      </w:r>
    </w:p>
    <w:p>
      <w:pPr>
        <w:pStyle w:val="Heading2"/>
      </w:pPr>
      <w:r>
        <w:t xml:space="preserve">5.3 T-HetGAT Detection Engine</w:t>
      </w:r>
    </w:p>
    <w:p>
      <w:pPr>
        <w:spacing w:after="120" w:line="276"/>
      </w:pPr>
      <w:r>
        <w:rPr>
          <w:sz w:val="22"/>
          <w:szCs w:val="22"/>
        </w:rPr>
        <w:t xml:space="preserve">The core detection model is a Temporal Heterogeneous Graph Attention Network. It processes the dynamic network graph in time-windowed snapshots, attending to both structural (which nodes communicate) and temporal (when and how communication patterns change) features. The model outputs per-node and per-edge anomaly scores. It is pre-trained via self-supervised contrastive learning on normal traffic, then fine-tuned with labeled attack data. The contrastive objective: embeddings of the same node in adjacent normal time windows should be similar; embeddings during attack windows should diverge.</w:t>
      </w:r>
    </w:p>
    <w:p>
      <w:pPr>
        <w:pStyle w:val="Heading2"/>
      </w:pPr>
      <w:r>
        <w:t xml:space="preserve">5.4 DRL Triage Agent</w:t>
      </w:r>
    </w:p>
    <w:p>
      <w:pPr>
        <w:spacing w:after="120" w:line="276"/>
      </w:pPr>
      <w:r>
        <w:rPr>
          <w:sz w:val="22"/>
          <w:szCs w:val="22"/>
        </w:rPr>
        <w:t xml:space="preserve">When the T-HetGAT flags anomalous subgraphs, the DRL agent processes them. State: anomaly scores + local graph embedding + alert metadata + historical context (past decisions on similar patterns). Actions: dismiss (false positive), investigate (assign to analyst with context), escalate (critical — immediate response), correlate (link to existing campaign). Reward: SOC analyst feedback (correct/incorrect triage), attack containment time, false positive rate reduction. The agent is trained via DQN with prioritized experience replay.</w:t>
      </w:r>
    </w:p>
    <w:p>
      <w:pPr>
        <w:pStyle w:val="Heading2"/>
      </w:pPr>
      <w:r>
        <w:t xml:space="preserve">5.5 Federated Intelligence Layer</w:t>
      </w:r>
    </w:p>
    <w:p>
      <w:pPr>
        <w:spacing w:after="120" w:line="276"/>
      </w:pPr>
      <w:r>
        <w:rPr>
          <w:sz w:val="22"/>
          <w:szCs w:val="22"/>
        </w:rPr>
        <w:t xml:space="preserve">Multiple organizations share learned threat representations without exposing network topology. Each SOC trains a local T-HetGAT and periodically shares gradient updates (with differential privacy) to a federated aggregation server. This enables detection of zero-day attacks that one organization encounters first — the pattern propagates to all participants within hours. A permissioned blockchain records contribution provenance.</w:t>
      </w:r>
    </w:p>
    <w:p>
      <w:pPr>
        <w:pStyle w:val="Heading1"/>
      </w:pPr>
      <w:r>
        <w:t xml:space="preserve">6. AI/ML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3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Model/Algorithm</w:t>
            </w:r>
          </w:p>
        </w:tc>
        <w:tc>
          <w:tcPr>
            <w:tcW w:type="dxa" w:w="3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2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Graph Detection</w:t>
            </w:r>
          </w:p>
        </w:tc>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T-HetGAT (novel temporal heterogeneous GAT)</w:t>
            </w:r>
          </w:p>
        </w:tc>
        <w:tc>
          <w:tcPr>
            <w:tcW w:type="dxa" w:w="3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Anomaly detection on network graphs</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Alert Triage</w:t>
            </w:r>
          </w:p>
        </w:tc>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DQN with prioritized experience replay</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Autonomous alert prioritization</w:t>
            </w:r>
          </w:p>
        </w:tc>
      </w:tr>
      <w:tr>
        <w:tc>
          <w:tcPr>
            <w:tcW w:type="dxa" w:w="2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Pre-training</w:t>
            </w:r>
          </w:p>
        </w:tc>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Graph contrastive learning (GraphCL)</w:t>
            </w:r>
          </w:p>
        </w:tc>
        <w:tc>
          <w:tcPr>
            <w:tcW w:type="dxa" w:w="3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Learn normal behavior baselines</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Campaign Detection</w:t>
            </w:r>
          </w:p>
        </w:tc>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Louvain + temporal community detection</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Group related alerts into campaigns</w:t>
            </w:r>
          </w:p>
        </w:tc>
      </w:tr>
      <w:tr>
        <w:tc>
          <w:tcPr>
            <w:tcW w:type="dxa" w:w="2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Federated Sharing</w:t>
            </w:r>
          </w:p>
        </w:tc>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FedProx + Renyi DP</w:t>
            </w:r>
          </w:p>
        </w:tc>
        <w:tc>
          <w:tcPr>
            <w:tcW w:type="dxa" w:w="3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Cross-org threat intelligence</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Embedding</w:t>
            </w:r>
          </w:p>
        </w:tc>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Node2Vec + temporal features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Host/user behavior profiling</w:t>
            </w:r>
          </w:p>
        </w:tc>
      </w:tr>
    </w:tbl>
    <w:p>
      <w:pPr>
        <w:pStyle w:val="Heading1"/>
      </w:pPr>
      <w:r>
        <w:t xml:space="preserve">7. Datasets Required</w:t>
      </w:r>
    </w:p>
    <w:p>
      <w:pPr>
        <w:pStyle w:val="ListParagraph"/>
        <w:numPr>
          <w:ilvl w:val="0"/>
          <w:numId w:val="2"/>
        </w:numPr>
        <w:spacing w:after="80" w:line="276"/>
      </w:pPr>
      <w:r>
        <w:rPr>
          <w:sz w:val="22"/>
          <w:szCs w:val="22"/>
        </w:rPr>
        <w:t xml:space="preserve">CICIDS2017/2018: Labeled intrusion detection datasets with diverse attack types (DDoS, brute force, infiltration, botnet).</w:t>
      </w:r>
    </w:p>
    <w:p>
      <w:pPr>
        <w:pStyle w:val="ListParagraph"/>
        <w:numPr>
          <w:ilvl w:val="0"/>
          <w:numId w:val="2"/>
        </w:numPr>
        <w:spacing w:after="80" w:line="276"/>
      </w:pPr>
      <w:r>
        <w:rPr>
          <w:sz w:val="22"/>
          <w:szCs w:val="22"/>
        </w:rPr>
        <w:t xml:space="preserve">UNSW-NB15: Network traffic dataset with 9 attack categories and rich feature set.</w:t>
      </w:r>
    </w:p>
    <w:p>
      <w:pPr>
        <w:pStyle w:val="ListParagraph"/>
        <w:numPr>
          <w:ilvl w:val="0"/>
          <w:numId w:val="2"/>
        </w:numPr>
        <w:spacing w:after="80" w:line="276"/>
      </w:pPr>
      <w:r>
        <w:rPr>
          <w:sz w:val="22"/>
          <w:szCs w:val="22"/>
        </w:rPr>
        <w:t xml:space="preserve">LANL Unified Host and Network Dataset: 58 days of enterprise network traffic with red team events.</w:t>
      </w:r>
    </w:p>
    <w:p>
      <w:pPr>
        <w:pStyle w:val="ListParagraph"/>
        <w:numPr>
          <w:ilvl w:val="0"/>
          <w:numId w:val="2"/>
        </w:numPr>
        <w:spacing w:after="80" w:line="276"/>
      </w:pPr>
      <w:r>
        <w:rPr>
          <w:sz w:val="22"/>
          <w:szCs w:val="22"/>
        </w:rPr>
        <w:t xml:space="preserve">DARPA Transparent Computing (TC): Multi-host provenance graphs with advanced persistent threat scenarios.</w:t>
      </w:r>
    </w:p>
    <w:p>
      <w:pPr>
        <w:pStyle w:val="ListParagraph"/>
        <w:numPr>
          <w:ilvl w:val="0"/>
          <w:numId w:val="2"/>
        </w:numPr>
        <w:spacing w:after="80" w:line="276"/>
      </w:pPr>
      <w:r>
        <w:rPr>
          <w:sz w:val="22"/>
          <w:szCs w:val="22"/>
        </w:rPr>
        <w:t xml:space="preserve">Custom SOC Simulation: Synthetic enterprise network with configurable attack campaigns for controlled evaluation.</w:t>
      </w:r>
    </w:p>
    <w:p>
      <w:pPr>
        <w:pStyle w:val="Heading1"/>
      </w:pPr>
      <w:r>
        <w:t xml:space="preserve">8. Training Pipeline</w:t>
      </w:r>
    </w:p>
    <w:p>
      <w:pPr>
        <w:pStyle w:val="ListParagraph"/>
        <w:numPr>
          <w:ilvl w:val="0"/>
          <w:numId w:val="3"/>
        </w:numPr>
        <w:spacing w:after="80" w:line="276"/>
      </w:pPr>
      <w:r>
        <w:rPr>
          <w:sz w:val="22"/>
          <w:szCs w:val="22"/>
        </w:rPr>
        <w:t xml:space="preserve">Phase 1 — Graph Construction Pipeline (Week 1-4): Build real-time graph construction from NetFlow/syslog. Validate on CICIDS dataset.</w:t>
      </w:r>
    </w:p>
    <w:p>
      <w:pPr>
        <w:pStyle w:val="ListParagraph"/>
        <w:numPr>
          <w:ilvl w:val="0"/>
          <w:numId w:val="3"/>
        </w:numPr>
        <w:spacing w:after="80" w:line="276"/>
      </w:pPr>
      <w:r>
        <w:rPr>
          <w:sz w:val="22"/>
          <w:szCs w:val="22"/>
        </w:rPr>
        <w:t xml:space="preserve">Phase 2 — Self-Supervised Pre-training (Week 5-8): Train contrastive model on normal traffic subgraphs. Evaluate via anomaly detection AUROC.</w:t>
      </w:r>
    </w:p>
    <w:p>
      <w:pPr>
        <w:pStyle w:val="ListParagraph"/>
        <w:numPr>
          <w:ilvl w:val="0"/>
          <w:numId w:val="3"/>
        </w:numPr>
        <w:spacing w:after="80" w:line="276"/>
      </w:pPr>
      <w:r>
        <w:rPr>
          <w:sz w:val="22"/>
          <w:szCs w:val="22"/>
        </w:rPr>
        <w:t xml:space="preserve">Phase 3 — T-HetGAT Detection (Week 9-13): Fine-tune on labeled attack data. Benchmark against E-GraphSAGE, DOMINANT, and traditional IDS.</w:t>
      </w:r>
    </w:p>
    <w:p>
      <w:pPr>
        <w:pStyle w:val="ListParagraph"/>
        <w:numPr>
          <w:ilvl w:val="0"/>
          <w:numId w:val="3"/>
        </w:numPr>
        <w:spacing w:after="80" w:line="276"/>
      </w:pPr>
      <w:r>
        <w:rPr>
          <w:sz w:val="22"/>
          <w:szCs w:val="22"/>
        </w:rPr>
        <w:t xml:space="preserve">Phase 4 — DRL Triage Agent (Week 14-17): Train DQN agent with simulated SOC environment. Reward shaping from historical analyst decisions.</w:t>
      </w:r>
    </w:p>
    <w:p>
      <w:pPr>
        <w:pStyle w:val="ListParagraph"/>
        <w:numPr>
          <w:ilvl w:val="0"/>
          <w:numId w:val="3"/>
        </w:numPr>
        <w:spacing w:after="80" w:line="276"/>
      </w:pPr>
      <w:r>
        <w:rPr>
          <w:sz w:val="22"/>
          <w:szCs w:val="22"/>
        </w:rPr>
        <w:t xml:space="preserve">Phase 5 — Federated + Campaign Detection (Week 18-22): Multi-organization simulation, federated training, campaign reconstruction evaluation.</w:t>
      </w:r>
    </w:p>
    <w:p>
      <w:pPr>
        <w:pStyle w:val="Heading1"/>
      </w:pPr>
      <w:r>
        <w:t xml:space="preserve">9. Deployment Architecture</w:t>
      </w:r>
    </w:p>
    <w:p>
      <w:pPr>
        <w:spacing w:after="120" w:line="276"/>
      </w:pPr>
      <w:r>
        <w:rPr>
          <w:sz w:val="22"/>
          <w:szCs w:val="22"/>
        </w:rPr>
        <w:t xml:space="preserve">On-premise deployment at each SOC site. The data ingestion layer (Kafka + Flink) runs on dedicated streaming servers. The graph database and T-HetGAT inference run on GPU-equipped servers (NVIDIA A100 or T4). The DRL agent runs alongside as a lightweight inference service. A React-based SOC dashboard integrates with existing SIEM tools (Splunk, Elastic) via REST APIs. The federated learning component communicates via encrypted gRPC channels with the aggregation server hosted in a neutral cloud.</w:t>
      </w:r>
    </w:p>
    <w:p>
      <w:pPr>
        <w:pStyle w:val="Heading1"/>
      </w:pPr>
      <w:r>
        <w:t xml:space="preserve">10.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Layer</w:t>
            </w:r>
          </w:p>
        </w:tc>
        <w:tc>
          <w:tcPr>
            <w:tcW w:type="dxa" w:w="5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Graph Neural Networks</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PyTorch Geometric, DGL (Deep Graph Library)</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Graph Database</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Neo4j, custom in-memory graph engine (Rust)</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RL Framework</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Stable-Baselines3, Gymnasium</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Stream Processing</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Apache Kafka, Apache Flink</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Log Collection</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rsyslog + RELP, Filebeat</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Federated Learning</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Flower (flwr), PySyft</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Differential Privacy</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Opacus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API &amp; Dashboard</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FastAPI, React, Grafana, ELK Stack</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Docker, Kubernetes, Ansible</w:t>
            </w:r>
          </w:p>
        </w:tc>
      </w:tr>
    </w:tbl>
    <w:p>
      <w:pPr>
        <w:pStyle w:val="Heading1"/>
      </w:pPr>
      <w:r>
        <w:t xml:space="preserve">11. Evaluation Metrics</w:t>
      </w:r>
    </w:p>
    <w:p>
      <w:pPr>
        <w:pStyle w:val="ListParagraph"/>
        <w:numPr>
          <w:ilvl w:val="0"/>
          <w:numId w:val="2"/>
        </w:numPr>
        <w:spacing w:after="80" w:line="276"/>
      </w:pPr>
      <w:r>
        <w:rPr>
          <w:sz w:val="22"/>
          <w:szCs w:val="22"/>
        </w:rPr>
        <w:t xml:space="preserve">Detection: AUROC, F1-score, precision-recall on attack detection (target: F1 &gt; 0.92, FPR &lt; 5%).</w:t>
      </w:r>
    </w:p>
    <w:p>
      <w:pPr>
        <w:pStyle w:val="ListParagraph"/>
        <w:numPr>
          <w:ilvl w:val="0"/>
          <w:numId w:val="2"/>
        </w:numPr>
        <w:spacing w:after="80" w:line="276"/>
      </w:pPr>
      <w:r>
        <w:rPr>
          <w:sz w:val="22"/>
          <w:szCs w:val="22"/>
        </w:rPr>
        <w:t xml:space="preserve">Triage Quality: Reduction in false positive escalations, mean time to correct triage decision.</w:t>
      </w:r>
    </w:p>
    <w:p>
      <w:pPr>
        <w:pStyle w:val="ListParagraph"/>
        <w:numPr>
          <w:ilvl w:val="0"/>
          <w:numId w:val="2"/>
        </w:numPr>
        <w:spacing w:after="80" w:line="276"/>
      </w:pPr>
      <w:r>
        <w:rPr>
          <w:sz w:val="22"/>
          <w:szCs w:val="22"/>
        </w:rPr>
        <w:t xml:space="preserve">Campaign Reconstruction: NMI (Normalized Mutual Information) between predicted and ground-truth attack campaigns.</w:t>
      </w:r>
    </w:p>
    <w:p>
      <w:pPr>
        <w:pStyle w:val="ListParagraph"/>
        <w:numPr>
          <w:ilvl w:val="0"/>
          <w:numId w:val="2"/>
        </w:numPr>
        <w:spacing w:after="80" w:line="276"/>
      </w:pPr>
      <w:r>
        <w:rPr>
          <w:sz w:val="22"/>
          <w:szCs w:val="22"/>
        </w:rPr>
        <w:t xml:space="preserve">Temporal Performance: Detection latency (time from first attack packet to alert, target: &lt; 30 seconds).</w:t>
      </w:r>
    </w:p>
    <w:p>
      <w:pPr>
        <w:pStyle w:val="ListParagraph"/>
        <w:numPr>
          <w:ilvl w:val="0"/>
          <w:numId w:val="2"/>
        </w:numPr>
        <w:spacing w:after="80" w:line="276"/>
      </w:pPr>
      <w:r>
        <w:rPr>
          <w:sz w:val="22"/>
          <w:szCs w:val="22"/>
        </w:rPr>
        <w:t xml:space="preserve">Federated Benefit: F1 improvement from federated vs. isolated training on zero-day attack types.</w:t>
      </w:r>
    </w:p>
    <w:p>
      <w:pPr>
        <w:pStyle w:val="Heading1"/>
      </w:pPr>
      <w:r>
        <w:t xml:space="preserve">12. Expected Research Contribution</w:t>
      </w:r>
    </w:p>
    <w:p>
      <w:pPr>
        <w:spacing w:after="120" w:line="276"/>
      </w:pPr>
      <w:r>
        <w:rPr>
          <w:sz w:val="22"/>
          <w:szCs w:val="22"/>
        </w:rPr>
        <w:t xml:space="preserve">This work introduces a unified framework combining temporal GNN-based network anomaly detection with DRL-based autonomous alert triage, demonstrating that graph structure is the critical missing feature in current SOC analytics. The self-supervised pre-training strategy eliminates the labeled data bottleneck. The federated component enables collective defense while preserving organizational privacy. Expected improvement: 40% reduction in false positive escalations with equal or better true positive rate compared to SOTA.</w:t>
      </w:r>
    </w:p>
    <w:p>
      <w:pPr>
        <w:pStyle w:val="Heading1"/>
      </w:pPr>
      <w:r>
        <w:t xml:space="preserve">13. Real-World Product Use Case</w:t>
      </w:r>
    </w:p>
    <w:p>
      <w:pPr>
        <w:spacing w:after="120" w:line="276"/>
      </w:pPr>
      <w:r>
        <w:rPr>
          <w:sz w:val="22"/>
          <w:szCs w:val="22"/>
        </w:rPr>
        <w:t xml:space="preserve">Autonomous SOC Tier-1 Analyst: GraphRL-Sec replaces or augments Tier-1 SOC analysts by autonomously triaging 80%+ of alerts. Remaining high-confidence escalations are routed to human analysts with full graph context, attack campaign visualization, and recommended response actions. This addresses the cybersecurity talent gap while improving detection quality.</w:t>
      </w:r>
    </w:p>
    <w:p>
      <w:pPr>
        <w:pStyle w:val="Heading1"/>
      </w:pPr>
      <w:r>
        <w:t xml:space="preserve">14. Industry Applications</w:t>
      </w:r>
    </w:p>
    <w:p>
      <w:pPr>
        <w:pStyle w:val="ListParagraph"/>
        <w:numPr>
          <w:ilvl w:val="0"/>
          <w:numId w:val="2"/>
        </w:numPr>
        <w:spacing w:after="80" w:line="276"/>
      </w:pPr>
      <w:r>
        <w:rPr>
          <w:sz w:val="22"/>
          <w:szCs w:val="22"/>
        </w:rPr>
        <w:t xml:space="preserve">CrowdStrike: Integrate T-HetGAT into Falcon platform for graph-based endpoint detection and response.</w:t>
      </w:r>
    </w:p>
    <w:p>
      <w:pPr>
        <w:pStyle w:val="ListParagraph"/>
        <w:numPr>
          <w:ilvl w:val="0"/>
          <w:numId w:val="2"/>
        </w:numPr>
        <w:spacing w:after="80" w:line="276"/>
      </w:pPr>
      <w:r>
        <w:rPr>
          <w:sz w:val="22"/>
          <w:szCs w:val="22"/>
        </w:rPr>
        <w:t xml:space="preserve">Microsoft: Power Microsoft Sentinel with GNN-based threat detection across Azure and hybrid environments.</w:t>
      </w:r>
    </w:p>
    <w:p>
      <w:pPr>
        <w:pStyle w:val="ListParagraph"/>
        <w:numPr>
          <w:ilvl w:val="0"/>
          <w:numId w:val="2"/>
        </w:numPr>
        <w:spacing w:after="80" w:line="276"/>
      </w:pPr>
      <w:r>
        <w:rPr>
          <w:sz w:val="22"/>
          <w:szCs w:val="22"/>
        </w:rPr>
        <w:t xml:space="preserve">Google (Mandiant): Autonomous threat hunting using graph-structured IOCs and attack campaign reconstruction.</w:t>
      </w:r>
    </w:p>
    <w:p>
      <w:pPr>
        <w:pStyle w:val="ListParagraph"/>
        <w:numPr>
          <w:ilvl w:val="0"/>
          <w:numId w:val="2"/>
        </w:numPr>
        <w:spacing w:after="80" w:line="276"/>
      </w:pPr>
      <w:r>
        <w:rPr>
          <w:sz w:val="22"/>
          <w:szCs w:val="22"/>
        </w:rPr>
        <w:t xml:space="preserve">Palo Alto Networks: XSOAR integration for RL-based playbook selection and automated incident response.</w:t>
      </w:r>
    </w:p>
    <w:p>
      <w:pPr>
        <w:pStyle w:val="Heading1"/>
      </w:pPr>
      <w:r>
        <w:t xml:space="preserve">15. Patent / Startup Opportunity</w:t>
      </w:r>
    </w:p>
    <w:p>
      <w:pPr>
        <w:spacing w:after="120" w:line="276"/>
      </w:pPr>
      <w:r>
        <w:rPr>
          <w:sz w:val="22"/>
          <w:szCs w:val="22"/>
        </w:rPr>
        <w:t xml:space="preserve">Patentable: T-HetGAT architecture for temporal network anomaly detection, DRL-based SOC triage agent, federated threat intelligence protocol with differential privacy. Startup (GraphShield AI) could offer SOC-as-a-Service powered by graph intelligence. The TAM exceeds $30B in managed security services. Competitive advantage: graph-based detection catches lateral movement and multi-stage attacks that signature-based systems miss entirely.</w:t>
      </w:r>
    </w:p>
    <w:p>
      <w:pPr>
        <w:pStyle w:val="Heading1"/>
      </w:pPr>
      <w:r>
        <w:t xml:space="preserve">16. Relevant Research Papers</w:t>
      </w:r>
    </w:p>
    <w:p>
      <w:pPr>
        <w:pStyle w:val="ListParagraph"/>
        <w:numPr>
          <w:ilvl w:val="0"/>
          <w:numId w:val="3"/>
        </w:numPr>
        <w:spacing w:after="80" w:line="276"/>
      </w:pPr>
      <w:r>
        <w:rPr>
          <w:sz w:val="22"/>
          <w:szCs w:val="22"/>
        </w:rPr>
        <w:t xml:space="preserve">Lo et al. (2022). 'E-GraphSAGE: A Graph Neural Network based Intrusion Detection System for IoT.' NOMS. https://arxiv.org/abs/2103.16329</w:t>
      </w:r>
    </w:p>
    <w:p>
      <w:pPr>
        <w:pStyle w:val="ListParagraph"/>
        <w:numPr>
          <w:ilvl w:val="0"/>
          <w:numId w:val="3"/>
        </w:numPr>
        <w:spacing w:after="80" w:line="276"/>
      </w:pPr>
      <w:r>
        <w:rPr>
          <w:sz w:val="22"/>
          <w:szCs w:val="22"/>
        </w:rPr>
        <w:t xml:space="preserve">You et al. (2022). 'Graph Neural Networks for Network Intrusion Detection.' IEEE TNSM. https://doi.org/10.1109/TNSM.2022.3187085</w:t>
      </w:r>
    </w:p>
    <w:p>
      <w:pPr>
        <w:pStyle w:val="ListParagraph"/>
        <w:numPr>
          <w:ilvl w:val="0"/>
          <w:numId w:val="3"/>
        </w:numPr>
        <w:spacing w:after="80" w:line="276"/>
      </w:pPr>
      <w:r>
        <w:rPr>
          <w:sz w:val="22"/>
          <w:szCs w:val="22"/>
        </w:rPr>
        <w:t xml:space="preserve">Nguyen et al. (2023). 'Deep Reinforcement Learning for Cyber Security.' IEEE TIFS. https://arxiv.org/abs/1906.05799</w:t>
      </w:r>
    </w:p>
    <w:p>
      <w:pPr>
        <w:pStyle w:val="ListParagraph"/>
        <w:numPr>
          <w:ilvl w:val="0"/>
          <w:numId w:val="3"/>
        </w:numPr>
        <w:spacing w:after="80" w:line="276"/>
      </w:pPr>
      <w:r>
        <w:rPr>
          <w:sz w:val="22"/>
          <w:szCs w:val="22"/>
        </w:rPr>
        <w:t xml:space="preserve">Xu et al. (2020). 'Inductive Representation Learning on Temporal Graphs.' ICLR. https://arxiv.org/abs/2002.07962</w:t>
      </w:r>
    </w:p>
    <w:p>
      <w:pPr>
        <w:pStyle w:val="ListParagraph"/>
        <w:numPr>
          <w:ilvl w:val="0"/>
          <w:numId w:val="3"/>
        </w:numPr>
        <w:spacing w:after="80" w:line="276"/>
      </w:pPr>
      <w:r>
        <w:rPr>
          <w:sz w:val="22"/>
          <w:szCs w:val="22"/>
        </w:rPr>
        <w:t xml:space="preserve">Pujol-Perich et al. (2022). 'Unveiling the potential of GNN for network modeling and optimization.' IEEE JSAC. https://arxiv.org/abs/2110.01261</w:t>
      </w:r>
    </w:p>
    <w:p>
      <w:pPr>
        <w:pStyle w:val="Heading1"/>
      </w:pPr>
      <w:r>
        <w:t xml:space="preserve">17.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Timeline</w:t>
            </w:r>
          </w:p>
        </w:tc>
        <w:tc>
          <w:tcPr>
            <w:tcW w:type="dxa" w:w="4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Deliverable</w:t>
            </w:r>
          </w:p>
        </w:tc>
      </w:tr>
      <w:tr>
        <w:tc>
          <w:tcPr>
            <w:tcW w:type="dxa" w:w="32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Data Pipeline + Graph Construction</w:t>
            </w:r>
          </w:p>
        </w:tc>
        <w:tc>
          <w:tcPr>
            <w:tcW w:type="dxa" w:w="18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Week 1-4</w:t>
            </w:r>
          </w:p>
        </w:tc>
        <w:tc>
          <w:tcPr>
            <w:tcW w:type="dxa" w:w="4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Kafka + Flink pipeline, Neo4j graph, NetFlow parser</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Self-Supervised Pre-training</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Week 5-8</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Contrastive model, normal behavior embeddings</w:t>
            </w:r>
          </w:p>
        </w:tc>
      </w:tr>
      <w:tr>
        <w:tc>
          <w:tcPr>
            <w:tcW w:type="dxa" w:w="32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T-HetGAT Detection Engine</w:t>
            </w:r>
          </w:p>
        </w:tc>
        <w:tc>
          <w:tcPr>
            <w:tcW w:type="dxa" w:w="18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Week 9-13</w:t>
            </w:r>
          </w:p>
        </w:tc>
        <w:tc>
          <w:tcPr>
            <w:tcW w:type="dxa" w:w="4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Anomaly detection model, benchmark results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DRL Triage Agent</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Week 14-17</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Trained DQN, simulated SOC environment</w:t>
            </w:r>
          </w:p>
        </w:tc>
      </w:tr>
      <w:tr>
        <w:tc>
          <w:tcPr>
            <w:tcW w:type="dxa" w:w="32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Federated + Campaign Module</w:t>
            </w:r>
          </w:p>
        </w:tc>
        <w:tc>
          <w:tcPr>
            <w:tcW w:type="dxa" w:w="18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Week 18-20</w:t>
            </w:r>
          </w:p>
        </w:tc>
        <w:tc>
          <w:tcPr>
            <w:tcW w:type="dxa" w:w="43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Multi-org simulation, campaign clustering</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Integration + Paper</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Week 21-22</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End-to-end system, evaluation, paper draft</w:t>
            </w:r>
          </w:p>
        </w:tc>
      </w:tr>
    </w:tbl>
    <w:p>
      <w:pPr>
        <w:pStyle w:val="Heading1"/>
      </w:pPr>
      <w:r>
        <w:t xml:space="preserve">18. Potential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Challenge</w:t>
            </w:r>
          </w:p>
        </w:tc>
        <w:tc>
          <w:tcPr>
            <w:tcW w:type="dxa" w:w="5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Solution</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Large-scale graph computation in real-time</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Mini-batch sampling (neighborhood sampling), GPU-accelerated GNN inference, graph partitioning</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Imbalanced data (attacks are rare events)</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Focal loss, oversampling attack subgraphs, synthetic attack injection for training</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DRL agent cold-start in new environments</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Pre-train on simulated SOC, fine-tune with few-shot real feedback, meta-learning across deployments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Federated learning with heterogeneous networks</w:t>
            </w:r>
          </w:p>
        </w:tc>
        <w:tc>
          <w:tcPr>
            <w:tcW w:type="dxa" w:w="5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2"/>
                <w:szCs w:val="22"/>
              </w:rPr>
              <w:t xml:space="preserve">FedProx for heterogeneity, learn transferable patterns not topology-specific features</w:t>
            </w:r>
          </w:p>
        </w:tc>
      </w:tr>
      <w:tr>
        <w:tc>
          <w:tcPr>
            <w:tcW w:type="dxa" w:w="350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Concept drift in network behavior</w:t>
            </w:r>
          </w:p>
        </w:tc>
        <w:tc>
          <w:tcPr>
            <w:tcW w:type="dxa" w:w="5860"/>
            <w:tcBorders>
              <w:top w:val="single" w:color="B0C4DE" w:sz="1"/>
              <w:left w:val="single" w:color="B0C4DE" w:sz="1"/>
              <w:bottom w:val="single" w:color="B0C4DE" w:sz="1"/>
              <w:right w:val="single" w:color="B0C4DE" w:sz="1"/>
            </w:tcBorders>
            <w:shd w:fill="E8F0FE" w:val="clear"/>
            <w:tcMar>
              <w:top w:type="dxa" w:w="80"/>
              <w:left w:type="dxa" w:w="120"/>
              <w:bottom w:type="dxa" w:w="80"/>
              <w:right w:type="dxa" w:w="120"/>
            </w:tcMar>
          </w:tcPr>
          <w:p>
            <w:r>
              <w:rPr>
                <w:rFonts w:ascii="Arial" w:cs="Arial" w:eastAsia="Arial" w:hAnsi="Arial"/>
                <w:sz w:val="22"/>
                <w:szCs w:val="22"/>
              </w:rPr>
              <w:t xml:space="preserve">Continuous self-supervised re-training on recent normal traffic, drift detection via embedding distance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M.Tech Dissertation Proposal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GraphRL-Sec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2026-03-14T11:36:48.438Z</dcterms:created>
  <dcterms:modified xsi:type="dcterms:W3CDTF">2026-03-14T11:36:48.442Z</dcterms:modified>
</cp:coreProperties>
</file>

<file path=docProps/custom.xml><?xml version="1.0" encoding="utf-8"?>
<Properties xmlns="http://schemas.openxmlformats.org/officeDocument/2006/custom-properties" xmlns:vt="http://schemas.openxmlformats.org/officeDocument/2006/docPropsVTypes"/>
</file>