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051494EC" w:rsidR="00002EC8" w:rsidRPr="00D40A0F" w:rsidRDefault="00910963"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AMBIENTE Y DESARROLLO SOSTENIBLE</w:t>
      </w:r>
      <w:r w:rsidR="001820C7">
        <w:rPr>
          <w:rFonts w:ascii="Times New Roman" w:hAnsi="Times New Roman" w:cs="Times New Roman"/>
          <w:b/>
          <w:sz w:val="26"/>
          <w:szCs w:val="26"/>
          <w:lang w:val="es-VE"/>
        </w:rPr>
        <w:t xml:space="preserve">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7D4FED95" w14:textId="77777777" w:rsidR="00AC0529" w:rsidRDefault="00AC0529" w:rsidP="00593611">
      <w:pPr>
        <w:spacing w:line="360" w:lineRule="auto"/>
        <w:jc w:val="center"/>
        <w:rPr>
          <w:rFonts w:ascii="Times New Roman" w:hAnsi="Times New Roman" w:cs="Times New Roman"/>
          <w:b/>
          <w:bCs/>
          <w:sz w:val="26"/>
          <w:szCs w:val="26"/>
        </w:rPr>
      </w:pPr>
      <w:proofErr w:type="spellStart"/>
      <w:r w:rsidRPr="00AC0529">
        <w:rPr>
          <w:rFonts w:ascii="Times New Roman" w:hAnsi="Times New Roman" w:cs="Times New Roman"/>
          <w:b/>
          <w:bCs/>
          <w:sz w:val="26"/>
          <w:szCs w:val="26"/>
        </w:rPr>
        <w:t>Protección</w:t>
      </w:r>
      <w:proofErr w:type="spellEnd"/>
      <w:r w:rsidRPr="00AC0529">
        <w:rPr>
          <w:rFonts w:ascii="Times New Roman" w:hAnsi="Times New Roman" w:cs="Times New Roman"/>
          <w:b/>
          <w:bCs/>
          <w:sz w:val="26"/>
          <w:szCs w:val="26"/>
        </w:rPr>
        <w:t xml:space="preserve"> </w:t>
      </w:r>
      <w:proofErr w:type="spellStart"/>
      <w:r w:rsidRPr="00AC0529">
        <w:rPr>
          <w:rFonts w:ascii="Times New Roman" w:hAnsi="Times New Roman" w:cs="Times New Roman"/>
          <w:b/>
          <w:bCs/>
          <w:sz w:val="26"/>
          <w:szCs w:val="26"/>
        </w:rPr>
        <w:t>Ambienta</w:t>
      </w:r>
      <w:proofErr w:type="spellEnd"/>
    </w:p>
    <w:p w14:paraId="21746DCF" w14:textId="12418731" w:rsidR="00593611" w:rsidRPr="00D40A0F" w:rsidRDefault="00910963" w:rsidP="00593611">
      <w:pPr>
        <w:spacing w:line="360"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Análisis</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3905C425" w:rsidR="00002EC8" w:rsidRPr="00D40A0F" w:rsidRDefault="00002EC8" w:rsidP="00002EC8">
      <w:pPr>
        <w:jc w:val="right"/>
        <w:rPr>
          <w:rFonts w:ascii="Times New Roman" w:hAnsi="Times New Roman" w:cs="Times New Roman"/>
          <w:bCs/>
          <w:sz w:val="26"/>
          <w:szCs w:val="26"/>
          <w:lang w:val="es-VE"/>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00BB505F">
        <w:rPr>
          <w:rFonts w:ascii="Times New Roman" w:hAnsi="Times New Roman" w:cs="Times New Roman"/>
          <w:sz w:val="26"/>
          <w:szCs w:val="26"/>
        </w:rPr>
        <w:t>Niovis</w:t>
      </w:r>
      <w:proofErr w:type="spellEnd"/>
      <w:r w:rsidR="00F506B8" w:rsidRPr="00F506B8">
        <w:rPr>
          <w:rFonts w:ascii="Times New Roman" w:hAnsi="Times New Roman" w:cs="Times New Roman"/>
          <w:sz w:val="26"/>
          <w:szCs w:val="26"/>
        </w:rPr>
        <w:t xml:space="preserve"> </w:t>
      </w:r>
      <w:r w:rsidR="00BB505F">
        <w:rPr>
          <w:rFonts w:ascii="Times New Roman" w:hAnsi="Times New Roman" w:cs="Times New Roman"/>
          <w:sz w:val="26"/>
          <w:szCs w:val="26"/>
        </w:rPr>
        <w:t>Garcia</w:t>
      </w:r>
      <w:r w:rsidR="00F506B8">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BB505F">
        <w:rPr>
          <w:rFonts w:ascii="Times New Roman" w:hAnsi="Times New Roman" w:cs="Times New Roman"/>
          <w:sz w:val="26"/>
          <w:szCs w:val="26"/>
        </w:rPr>
        <w:t>10.620.452</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1E6B4F50"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sidR="00910963">
        <w:rPr>
          <w:rFonts w:ascii="Times New Roman" w:hAnsi="Times New Roman" w:cs="Times New Roman"/>
          <w:bCs/>
          <w:sz w:val="26"/>
          <w:szCs w:val="26"/>
          <w:lang w:val="es-VE"/>
        </w:rPr>
        <w:t>abril</w:t>
      </w:r>
      <w:r w:rsidRPr="00D40A0F">
        <w:rPr>
          <w:rFonts w:ascii="Times New Roman" w:hAnsi="Times New Roman" w:cs="Times New Roman"/>
          <w:bCs/>
          <w:sz w:val="26"/>
          <w:szCs w:val="26"/>
          <w:lang w:val="es-VE"/>
        </w:rPr>
        <w:t xml:space="preserve"> de 2026.</w:t>
      </w:r>
    </w:p>
    <w:p w14:paraId="2D98FA43" w14:textId="2AB3FF28" w:rsidR="004E06D4" w:rsidRPr="001820C7" w:rsidRDefault="004E06D4" w:rsidP="001820C7">
      <w:pPr>
        <w:spacing w:line="360" w:lineRule="auto"/>
        <w:rPr>
          <w:rFonts w:ascii="Times New Roman" w:hAnsi="Times New Roman" w:cs="Times New Roman"/>
          <w:sz w:val="24"/>
          <w:szCs w:val="24"/>
        </w:rPr>
        <w:sectPr w:rsidR="004E06D4" w:rsidRPr="001820C7" w:rsidSect="00002EC8">
          <w:pgSz w:w="12240" w:h="15840"/>
          <w:pgMar w:top="1701" w:right="1701" w:bottom="1701" w:left="2268" w:header="720" w:footer="720" w:gutter="0"/>
          <w:cols w:space="720"/>
          <w:docGrid w:linePitch="360"/>
        </w:sectPr>
      </w:pPr>
    </w:p>
    <w:p w14:paraId="7FF26F01" w14:textId="772A9AB6" w:rsidR="00D40A0F" w:rsidRPr="00662E0E" w:rsidRDefault="00910963" w:rsidP="00662E0E">
      <w:pPr>
        <w:pStyle w:val="Ttulo1"/>
        <w:spacing w:line="360" w:lineRule="auto"/>
        <w:rPr>
          <w:rFonts w:cs="Times New Roman"/>
          <w:szCs w:val="24"/>
        </w:rPr>
      </w:pPr>
      <w:proofErr w:type="spellStart"/>
      <w:r w:rsidRPr="00662E0E">
        <w:rPr>
          <w:rFonts w:cs="Times New Roman"/>
          <w:szCs w:val="24"/>
        </w:rPr>
        <w:lastRenderedPageBreak/>
        <w:t>Análisis</w:t>
      </w:r>
      <w:proofErr w:type="spellEnd"/>
    </w:p>
    <w:p w14:paraId="59EA7305" w14:textId="24CCED46" w:rsidR="00593611" w:rsidRPr="00662E0E" w:rsidRDefault="00910963" w:rsidP="00662E0E">
      <w:pPr>
        <w:pStyle w:val="Ttulo2"/>
        <w:spacing w:line="360" w:lineRule="auto"/>
        <w:rPr>
          <w:rFonts w:cs="Times New Roman"/>
          <w:szCs w:val="24"/>
        </w:rPr>
      </w:pPr>
      <w:r w:rsidRPr="00662E0E">
        <w:rPr>
          <w:rFonts w:cs="Times New Roman"/>
          <w:szCs w:val="24"/>
        </w:rPr>
        <w:t xml:space="preserve">A. Marco Jurídico: La </w:t>
      </w:r>
      <w:proofErr w:type="spellStart"/>
      <w:r w:rsidRPr="00662E0E">
        <w:rPr>
          <w:rFonts w:cs="Times New Roman"/>
          <w:szCs w:val="24"/>
        </w:rPr>
        <w:t>Pirámide</w:t>
      </w:r>
      <w:proofErr w:type="spellEnd"/>
      <w:r w:rsidRPr="00662E0E">
        <w:rPr>
          <w:rFonts w:cs="Times New Roman"/>
          <w:szCs w:val="24"/>
        </w:rPr>
        <w:t xml:space="preserve"> Legal Ambiental (</w:t>
      </w:r>
      <w:proofErr w:type="spellStart"/>
      <w:r w:rsidRPr="00662E0E">
        <w:rPr>
          <w:rFonts w:cs="Times New Roman"/>
          <w:szCs w:val="24"/>
        </w:rPr>
        <w:t>Detallado</w:t>
      </w:r>
      <w:proofErr w:type="spellEnd"/>
      <w:r w:rsidRPr="00662E0E">
        <w:rPr>
          <w:rFonts w:cs="Times New Roman"/>
          <w:szCs w:val="24"/>
        </w:rPr>
        <w:t>)</w:t>
      </w:r>
    </w:p>
    <w:p w14:paraId="65401F22" w14:textId="468515BE" w:rsidR="00910963" w:rsidRPr="00662E0E" w:rsidRDefault="00910963" w:rsidP="00662E0E">
      <w:pPr>
        <w:spacing w:line="360" w:lineRule="auto"/>
        <w:ind w:firstLine="720"/>
        <w:jc w:val="both"/>
        <w:rPr>
          <w:rFonts w:ascii="Times New Roman" w:hAnsi="Times New Roman" w:cs="Times New Roman"/>
          <w:sz w:val="24"/>
          <w:szCs w:val="24"/>
        </w:rPr>
      </w:pPr>
      <w:r w:rsidRPr="00662E0E">
        <w:rPr>
          <w:rFonts w:ascii="Times New Roman" w:hAnsi="Times New Roman" w:cs="Times New Roman"/>
          <w:sz w:val="24"/>
          <w:szCs w:val="24"/>
        </w:rPr>
        <w:t xml:space="preserve">El </w:t>
      </w:r>
      <w:proofErr w:type="spellStart"/>
      <w:r w:rsidRPr="00662E0E">
        <w:rPr>
          <w:rFonts w:ascii="Times New Roman" w:hAnsi="Times New Roman" w:cs="Times New Roman"/>
          <w:sz w:val="24"/>
          <w:szCs w:val="24"/>
        </w:rPr>
        <w:t>sistema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jurídico</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ambiental</w:t>
      </w:r>
      <w:proofErr w:type="spellEnd"/>
      <w:r w:rsidRPr="00662E0E">
        <w:rPr>
          <w:rFonts w:ascii="Times New Roman" w:hAnsi="Times New Roman" w:cs="Times New Roman"/>
          <w:sz w:val="24"/>
          <w:szCs w:val="24"/>
        </w:rPr>
        <w:t xml:space="preserve"> venezolano se </w:t>
      </w:r>
      <w:proofErr w:type="spellStart"/>
      <w:r w:rsidRPr="00662E0E">
        <w:rPr>
          <w:rFonts w:ascii="Times New Roman" w:hAnsi="Times New Roman" w:cs="Times New Roman"/>
          <w:sz w:val="24"/>
          <w:szCs w:val="24"/>
        </w:rPr>
        <w:t>fundamenta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en</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una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estructura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jerárquica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donde</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cada</w:t>
      </w:r>
      <w:proofErr w:type="spellEnd"/>
      <w:r w:rsidRPr="00662E0E">
        <w:rPr>
          <w:rFonts w:ascii="Times New Roman" w:hAnsi="Times New Roman" w:cs="Times New Roman"/>
          <w:sz w:val="24"/>
          <w:szCs w:val="24"/>
        </w:rPr>
        <w:t xml:space="preserve"> norma </w:t>
      </w:r>
      <w:proofErr w:type="spellStart"/>
      <w:r w:rsidRPr="00662E0E">
        <w:rPr>
          <w:rFonts w:ascii="Times New Roman" w:hAnsi="Times New Roman" w:cs="Times New Roman"/>
          <w:sz w:val="24"/>
          <w:szCs w:val="24"/>
        </w:rPr>
        <w:t>debe</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respetar</w:t>
      </w:r>
      <w:proofErr w:type="spellEnd"/>
      <w:r w:rsidRPr="00662E0E">
        <w:rPr>
          <w:rFonts w:ascii="Times New Roman" w:hAnsi="Times New Roman" w:cs="Times New Roman"/>
          <w:sz w:val="24"/>
          <w:szCs w:val="24"/>
        </w:rPr>
        <w:t xml:space="preserve"> lo </w:t>
      </w:r>
      <w:proofErr w:type="spellStart"/>
      <w:r w:rsidRPr="00662E0E">
        <w:rPr>
          <w:rFonts w:ascii="Times New Roman" w:hAnsi="Times New Roman" w:cs="Times New Roman"/>
          <w:sz w:val="24"/>
          <w:szCs w:val="24"/>
        </w:rPr>
        <w:t>establecido</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en</w:t>
      </w:r>
      <w:proofErr w:type="spellEnd"/>
      <w:r w:rsidRPr="00662E0E">
        <w:rPr>
          <w:rFonts w:ascii="Times New Roman" w:hAnsi="Times New Roman" w:cs="Times New Roman"/>
          <w:sz w:val="24"/>
          <w:szCs w:val="24"/>
        </w:rPr>
        <w:t xml:space="preserve"> la </w:t>
      </w:r>
      <w:proofErr w:type="spellStart"/>
      <w:r w:rsidRPr="00662E0E">
        <w:rPr>
          <w:rFonts w:ascii="Times New Roman" w:hAnsi="Times New Roman" w:cs="Times New Roman"/>
          <w:sz w:val="24"/>
          <w:szCs w:val="24"/>
        </w:rPr>
        <w:t>instancia</w:t>
      </w:r>
      <w:proofErr w:type="spellEnd"/>
      <w:r w:rsidRPr="00662E0E">
        <w:rPr>
          <w:rFonts w:ascii="Times New Roman" w:hAnsi="Times New Roman" w:cs="Times New Roman"/>
          <w:sz w:val="24"/>
          <w:szCs w:val="24"/>
        </w:rPr>
        <w:t xml:space="preserve"> superior. Este </w:t>
      </w:r>
      <w:proofErr w:type="spellStart"/>
      <w:r w:rsidRPr="00662E0E">
        <w:rPr>
          <w:rFonts w:ascii="Times New Roman" w:hAnsi="Times New Roman" w:cs="Times New Roman"/>
          <w:sz w:val="24"/>
          <w:szCs w:val="24"/>
        </w:rPr>
        <w:t>ordenamiento</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busca</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garantizar</w:t>
      </w:r>
      <w:proofErr w:type="spellEnd"/>
      <w:r w:rsidRPr="00662E0E">
        <w:rPr>
          <w:rFonts w:ascii="Times New Roman" w:hAnsi="Times New Roman" w:cs="Times New Roman"/>
          <w:sz w:val="24"/>
          <w:szCs w:val="24"/>
        </w:rPr>
        <w:t xml:space="preserve"> que </w:t>
      </w:r>
      <w:proofErr w:type="spellStart"/>
      <w:r w:rsidRPr="00662E0E">
        <w:rPr>
          <w:rFonts w:ascii="Times New Roman" w:hAnsi="Times New Roman" w:cs="Times New Roman"/>
          <w:sz w:val="24"/>
          <w:szCs w:val="24"/>
        </w:rPr>
        <w:t>el</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desarrollo</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económico</w:t>
      </w:r>
      <w:proofErr w:type="spellEnd"/>
      <w:r w:rsidRPr="00662E0E">
        <w:rPr>
          <w:rFonts w:ascii="Times New Roman" w:hAnsi="Times New Roman" w:cs="Times New Roman"/>
          <w:sz w:val="24"/>
          <w:szCs w:val="24"/>
        </w:rPr>
        <w:t xml:space="preserve"> no </w:t>
      </w:r>
      <w:proofErr w:type="spellStart"/>
      <w:r w:rsidRPr="00662E0E">
        <w:rPr>
          <w:rFonts w:ascii="Times New Roman" w:hAnsi="Times New Roman" w:cs="Times New Roman"/>
          <w:sz w:val="24"/>
          <w:szCs w:val="24"/>
        </w:rPr>
        <w:t>colisione</w:t>
      </w:r>
      <w:proofErr w:type="spellEnd"/>
      <w:r w:rsidRPr="00662E0E">
        <w:rPr>
          <w:rFonts w:ascii="Times New Roman" w:hAnsi="Times New Roman" w:cs="Times New Roman"/>
          <w:sz w:val="24"/>
          <w:szCs w:val="24"/>
        </w:rPr>
        <w:t xml:space="preserve"> con la </w:t>
      </w:r>
      <w:proofErr w:type="spellStart"/>
      <w:r w:rsidRPr="00662E0E">
        <w:rPr>
          <w:rFonts w:ascii="Times New Roman" w:hAnsi="Times New Roman" w:cs="Times New Roman"/>
          <w:sz w:val="24"/>
          <w:szCs w:val="24"/>
        </w:rPr>
        <w:t>integridad</w:t>
      </w:r>
      <w:proofErr w:type="spellEnd"/>
      <w:r w:rsidRPr="00662E0E">
        <w:rPr>
          <w:rFonts w:ascii="Times New Roman" w:hAnsi="Times New Roman" w:cs="Times New Roman"/>
          <w:sz w:val="24"/>
          <w:szCs w:val="24"/>
        </w:rPr>
        <w:t xml:space="preserve"> de </w:t>
      </w:r>
      <w:proofErr w:type="spellStart"/>
      <w:r w:rsidRPr="00662E0E">
        <w:rPr>
          <w:rFonts w:ascii="Times New Roman" w:hAnsi="Times New Roman" w:cs="Times New Roman"/>
          <w:sz w:val="24"/>
          <w:szCs w:val="24"/>
        </w:rPr>
        <w:t>los</w:t>
      </w:r>
      <w:proofErr w:type="spellEnd"/>
      <w:r w:rsidRPr="00662E0E">
        <w:rPr>
          <w:rFonts w:ascii="Times New Roman" w:hAnsi="Times New Roman" w:cs="Times New Roman"/>
          <w:sz w:val="24"/>
          <w:szCs w:val="24"/>
        </w:rPr>
        <w:t xml:space="preserve"> </w:t>
      </w:r>
      <w:proofErr w:type="spellStart"/>
      <w:r w:rsidRPr="00662E0E">
        <w:rPr>
          <w:rFonts w:ascii="Times New Roman" w:hAnsi="Times New Roman" w:cs="Times New Roman"/>
          <w:sz w:val="24"/>
          <w:szCs w:val="24"/>
        </w:rPr>
        <w:t>ecosistemas</w:t>
      </w:r>
      <w:proofErr w:type="spellEnd"/>
      <w:r w:rsidRPr="00662E0E">
        <w:rPr>
          <w:rFonts w:ascii="Times New Roman" w:hAnsi="Times New Roman" w:cs="Times New Roman"/>
          <w:sz w:val="24"/>
          <w:szCs w:val="24"/>
        </w:rPr>
        <w:t>.</w:t>
      </w:r>
    </w:p>
    <w:p w14:paraId="6E48A837" w14:textId="77777777" w:rsidR="00910963" w:rsidRPr="00910963" w:rsidRDefault="00910963" w:rsidP="00662E0E">
      <w:pPr>
        <w:spacing w:line="360" w:lineRule="auto"/>
        <w:jc w:val="both"/>
        <w:rPr>
          <w:rFonts w:ascii="Times New Roman" w:hAnsi="Times New Roman" w:cs="Times New Roman"/>
          <w:b/>
          <w:bCs/>
          <w:sz w:val="24"/>
          <w:szCs w:val="24"/>
          <w:lang w:val="es-MX"/>
        </w:rPr>
      </w:pPr>
      <w:r w:rsidRPr="00910963">
        <w:rPr>
          <w:rFonts w:ascii="Times New Roman" w:hAnsi="Times New Roman" w:cs="Times New Roman"/>
          <w:b/>
          <w:bCs/>
          <w:sz w:val="24"/>
          <w:szCs w:val="24"/>
          <w:lang w:val="es-MX"/>
        </w:rPr>
        <w:t>1. Nivel Constitucional: La Constitución Ecológica</w:t>
      </w:r>
    </w:p>
    <w:p w14:paraId="746A4B20" w14:textId="77777777" w:rsidR="00910963" w:rsidRPr="00910963" w:rsidRDefault="00910963" w:rsidP="00662E0E">
      <w:pPr>
        <w:spacing w:line="360" w:lineRule="auto"/>
        <w:ind w:firstLine="360"/>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La Constitución de la República Bolivariana de Venezuela (1999) es el pilar fundamental. A diferencia de constituciones anteriores, esta es considerada una "Constitución Verde" por incluir un capítulo dedicado a los derechos ambientales:</w:t>
      </w:r>
    </w:p>
    <w:p w14:paraId="2CD10249" w14:textId="77777777" w:rsidR="00910963" w:rsidRPr="00910963" w:rsidRDefault="00910963" w:rsidP="00662E0E">
      <w:pPr>
        <w:numPr>
          <w:ilvl w:val="0"/>
          <w:numId w:val="40"/>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El Principio de Corresponsabilidad (Art. 127): Establece que la protección del ambiente no es solo tarea del Estado, sino de cada ciudadano. Define el ambiente como un "patrimonio común de la humanidad".</w:t>
      </w:r>
    </w:p>
    <w:p w14:paraId="69518781" w14:textId="77777777" w:rsidR="00910963" w:rsidRPr="00910963" w:rsidRDefault="00910963" w:rsidP="00662E0E">
      <w:pPr>
        <w:numPr>
          <w:ilvl w:val="0"/>
          <w:numId w:val="40"/>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Gestión del Territorio (Art. 128): Obliga al Estado a implementar una política de ordenación del territorio que considere las realidades ecológicas, geográficas y sociales.</w:t>
      </w:r>
    </w:p>
    <w:p w14:paraId="77C849A9" w14:textId="77777777" w:rsidR="00910963" w:rsidRPr="00662E0E" w:rsidRDefault="00910963" w:rsidP="00662E0E">
      <w:pPr>
        <w:numPr>
          <w:ilvl w:val="0"/>
          <w:numId w:val="40"/>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Limitaciones de Uso (Art. 129): Es fundamental. Dictamina que todas las actividades que puedan degradar los ecosistemas deben ir precedidas de Estudios de Impacto Ambiental y Sociocultural (EIASC). Además, prohíbe la entrada de desechos tóxicos y armas nucleares al territorio nacional.</w:t>
      </w:r>
    </w:p>
    <w:p w14:paraId="7C17134E" w14:textId="77777777" w:rsidR="00910963" w:rsidRDefault="00910963" w:rsidP="00662E0E">
      <w:pPr>
        <w:spacing w:line="360" w:lineRule="auto"/>
        <w:ind w:left="720"/>
        <w:jc w:val="both"/>
        <w:rPr>
          <w:rFonts w:ascii="Times New Roman" w:hAnsi="Times New Roman" w:cs="Times New Roman"/>
          <w:sz w:val="24"/>
          <w:szCs w:val="24"/>
          <w:lang w:val="es-MX"/>
        </w:rPr>
      </w:pPr>
    </w:p>
    <w:p w14:paraId="4D523322" w14:textId="77777777" w:rsidR="00662E0E" w:rsidRPr="00910963" w:rsidRDefault="00662E0E" w:rsidP="00662E0E">
      <w:pPr>
        <w:spacing w:line="360" w:lineRule="auto"/>
        <w:ind w:left="720"/>
        <w:jc w:val="both"/>
        <w:rPr>
          <w:rFonts w:ascii="Times New Roman" w:hAnsi="Times New Roman" w:cs="Times New Roman"/>
          <w:sz w:val="24"/>
          <w:szCs w:val="24"/>
          <w:lang w:val="es-MX"/>
        </w:rPr>
      </w:pPr>
    </w:p>
    <w:p w14:paraId="59BEC484" w14:textId="77777777" w:rsidR="00910963" w:rsidRPr="00910963" w:rsidRDefault="00910963" w:rsidP="00662E0E">
      <w:pPr>
        <w:spacing w:line="360" w:lineRule="auto"/>
        <w:jc w:val="both"/>
        <w:rPr>
          <w:rFonts w:ascii="Times New Roman" w:hAnsi="Times New Roman" w:cs="Times New Roman"/>
          <w:b/>
          <w:bCs/>
          <w:sz w:val="24"/>
          <w:szCs w:val="24"/>
          <w:lang w:val="es-MX"/>
        </w:rPr>
      </w:pPr>
      <w:r w:rsidRPr="00910963">
        <w:rPr>
          <w:rFonts w:ascii="Times New Roman" w:hAnsi="Times New Roman" w:cs="Times New Roman"/>
          <w:b/>
          <w:bCs/>
          <w:sz w:val="24"/>
          <w:szCs w:val="24"/>
          <w:lang w:val="es-MX"/>
        </w:rPr>
        <w:lastRenderedPageBreak/>
        <w:t>2. Nivel Orgánico: La Ley Marco</w:t>
      </w:r>
    </w:p>
    <w:p w14:paraId="0685D9FE" w14:textId="77777777" w:rsidR="00910963" w:rsidRPr="00910963" w:rsidRDefault="00910963" w:rsidP="00662E0E">
      <w:p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Por debajo de la Constitución, se encuentra la Ley Orgánica del Ambiente (LOA). Su función es establecer los principios rectores para la gestión del ambiente en el marco del desarrollo sustentable.</w:t>
      </w:r>
    </w:p>
    <w:p w14:paraId="5808972D" w14:textId="77777777" w:rsidR="00910963" w:rsidRPr="00910963" w:rsidRDefault="00910963" w:rsidP="00662E0E">
      <w:pPr>
        <w:numPr>
          <w:ilvl w:val="0"/>
          <w:numId w:val="41"/>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Objetivo: Establecer las disposiciones para la conservación, defensa y mejoramiento del ambiente.</w:t>
      </w:r>
    </w:p>
    <w:p w14:paraId="5C9C7223" w14:textId="77777777" w:rsidR="00910963" w:rsidRPr="00910963" w:rsidRDefault="00910963" w:rsidP="00662E0E">
      <w:pPr>
        <w:numPr>
          <w:ilvl w:val="0"/>
          <w:numId w:val="41"/>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Institucionalidad: Define las competencias del Ejecutivo Nacional y crea el Consejo Nacional Ambiental.</w:t>
      </w:r>
    </w:p>
    <w:p w14:paraId="78D38BEB" w14:textId="77777777" w:rsidR="00910963" w:rsidRPr="00910963" w:rsidRDefault="00910963" w:rsidP="00662E0E">
      <w:pPr>
        <w:numPr>
          <w:ilvl w:val="0"/>
          <w:numId w:val="41"/>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Participación Ciudadana: Legaliza el derecho de las comunidades a participar activamente en la gestión ambiental y en la toma de decisiones que afecten su entorno.</w:t>
      </w:r>
    </w:p>
    <w:p w14:paraId="66ABA317" w14:textId="77777777" w:rsidR="00910963" w:rsidRPr="00910963" w:rsidRDefault="00910963" w:rsidP="00662E0E">
      <w:pPr>
        <w:spacing w:line="360" w:lineRule="auto"/>
        <w:jc w:val="both"/>
        <w:rPr>
          <w:rFonts w:ascii="Times New Roman" w:hAnsi="Times New Roman" w:cs="Times New Roman"/>
          <w:b/>
          <w:bCs/>
          <w:sz w:val="24"/>
          <w:szCs w:val="24"/>
          <w:lang w:val="es-MX"/>
        </w:rPr>
      </w:pPr>
      <w:r w:rsidRPr="00910963">
        <w:rPr>
          <w:rFonts w:ascii="Times New Roman" w:hAnsi="Times New Roman" w:cs="Times New Roman"/>
          <w:b/>
          <w:bCs/>
          <w:sz w:val="24"/>
          <w:szCs w:val="24"/>
          <w:lang w:val="es-MX"/>
        </w:rPr>
        <w:t>3. Nivel Penal: La Coerción y la Sanción</w:t>
      </w:r>
    </w:p>
    <w:p w14:paraId="619C98C6" w14:textId="77777777" w:rsidR="00910963" w:rsidRPr="00910963" w:rsidRDefault="00910963" w:rsidP="00662E0E">
      <w:pPr>
        <w:spacing w:line="360" w:lineRule="auto"/>
        <w:ind w:firstLine="360"/>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Venezuela cuenta con la Ley Penal del Ambiente (LPA), que es la herramienta para castigar los daños irreversibles a la naturaleza.</w:t>
      </w:r>
    </w:p>
    <w:p w14:paraId="4F9DC197" w14:textId="77777777" w:rsidR="00910963" w:rsidRPr="00910963" w:rsidRDefault="00910963" w:rsidP="00662E0E">
      <w:pPr>
        <w:numPr>
          <w:ilvl w:val="0"/>
          <w:numId w:val="42"/>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Tipificación de Delitos: Convierte en delitos conductas que antes eran simples faltas administrativas (ejemplo: la degradación de suelos, el vertido ilícito de aguas residuales o el tráfico de especies protegidas).</w:t>
      </w:r>
    </w:p>
    <w:p w14:paraId="721899A4" w14:textId="77777777" w:rsidR="00910963" w:rsidRPr="00910963" w:rsidRDefault="00910963" w:rsidP="00662E0E">
      <w:pPr>
        <w:numPr>
          <w:ilvl w:val="0"/>
          <w:numId w:val="42"/>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Responsabilidad de Personas Jurídicas: Un aspecto avanzado de esta ley es que permite sancionar no solo a individuos, sino también a empresas y corporaciones por daños ambientales, imponiendo multas, clausuras o la obligación de restaurar el daño causado.</w:t>
      </w:r>
    </w:p>
    <w:p w14:paraId="34CB15F9" w14:textId="77777777" w:rsidR="00910963" w:rsidRPr="00910963" w:rsidRDefault="00910963" w:rsidP="00662E0E">
      <w:pPr>
        <w:spacing w:line="360" w:lineRule="auto"/>
        <w:jc w:val="both"/>
        <w:rPr>
          <w:rFonts w:ascii="Times New Roman" w:hAnsi="Times New Roman" w:cs="Times New Roman"/>
          <w:b/>
          <w:bCs/>
          <w:sz w:val="24"/>
          <w:szCs w:val="24"/>
          <w:lang w:val="es-MX"/>
        </w:rPr>
      </w:pPr>
      <w:r w:rsidRPr="00910963">
        <w:rPr>
          <w:rFonts w:ascii="Times New Roman" w:hAnsi="Times New Roman" w:cs="Times New Roman"/>
          <w:b/>
          <w:bCs/>
          <w:sz w:val="24"/>
          <w:szCs w:val="24"/>
          <w:lang w:val="es-MX"/>
        </w:rPr>
        <w:t>4. Nivel Especial: Leyes de Recursos Específicos</w:t>
      </w:r>
    </w:p>
    <w:p w14:paraId="6E16D2C9" w14:textId="77777777" w:rsidR="00910963" w:rsidRPr="00910963" w:rsidRDefault="00910963" w:rsidP="00662E0E">
      <w:pPr>
        <w:spacing w:line="360" w:lineRule="auto"/>
        <w:ind w:firstLine="360"/>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Estas leyes regulan elementos particulares de la biósfera para evitar su sobreexplotación:</w:t>
      </w:r>
    </w:p>
    <w:p w14:paraId="7CA16758" w14:textId="77777777" w:rsidR="00910963" w:rsidRPr="00910963" w:rsidRDefault="00910963" w:rsidP="00662E0E">
      <w:pPr>
        <w:numPr>
          <w:ilvl w:val="0"/>
          <w:numId w:val="43"/>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lastRenderedPageBreak/>
        <w:t>Ley de Aguas: Define el agua como un bien de dominio público, esencial para la vida y la soberanía.</w:t>
      </w:r>
    </w:p>
    <w:p w14:paraId="5706A4C3" w14:textId="77777777" w:rsidR="00910963" w:rsidRPr="00910963" w:rsidRDefault="00910963" w:rsidP="00662E0E">
      <w:pPr>
        <w:numPr>
          <w:ilvl w:val="0"/>
          <w:numId w:val="43"/>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Ley de Bosques: Regula el aprovechamiento sostenible de los recursos forestales y busca frenar la deforestación.</w:t>
      </w:r>
    </w:p>
    <w:p w14:paraId="34EBA82E" w14:textId="77777777" w:rsidR="00910963" w:rsidRPr="00910963" w:rsidRDefault="00910963" w:rsidP="00662E0E">
      <w:pPr>
        <w:numPr>
          <w:ilvl w:val="0"/>
          <w:numId w:val="43"/>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Ley de Gestión de la Diversidad Biológica: Se enfoca en la conservación del material genético de las especies autóctonas y el conocimiento ancestral asociado a ellas.</w:t>
      </w:r>
    </w:p>
    <w:p w14:paraId="4F9FB04C" w14:textId="77777777" w:rsidR="00910963" w:rsidRPr="00910963" w:rsidRDefault="00910963" w:rsidP="00662E0E">
      <w:pPr>
        <w:spacing w:line="360" w:lineRule="auto"/>
        <w:jc w:val="both"/>
        <w:rPr>
          <w:rFonts w:ascii="Times New Roman" w:hAnsi="Times New Roman" w:cs="Times New Roman"/>
          <w:b/>
          <w:bCs/>
          <w:sz w:val="24"/>
          <w:szCs w:val="24"/>
          <w:lang w:val="es-MX"/>
        </w:rPr>
      </w:pPr>
      <w:r w:rsidRPr="00910963">
        <w:rPr>
          <w:rFonts w:ascii="Times New Roman" w:hAnsi="Times New Roman" w:cs="Times New Roman"/>
          <w:b/>
          <w:bCs/>
          <w:sz w:val="24"/>
          <w:szCs w:val="24"/>
          <w:lang w:val="es-MX"/>
        </w:rPr>
        <w:t xml:space="preserve">5. Nivel </w:t>
      </w:r>
      <w:proofErr w:type="spellStart"/>
      <w:r w:rsidRPr="00910963">
        <w:rPr>
          <w:rFonts w:ascii="Times New Roman" w:hAnsi="Times New Roman" w:cs="Times New Roman"/>
          <w:b/>
          <w:bCs/>
          <w:sz w:val="24"/>
          <w:szCs w:val="24"/>
          <w:lang w:val="es-MX"/>
        </w:rPr>
        <w:t>Sub-legal</w:t>
      </w:r>
      <w:proofErr w:type="spellEnd"/>
      <w:r w:rsidRPr="00910963">
        <w:rPr>
          <w:rFonts w:ascii="Times New Roman" w:hAnsi="Times New Roman" w:cs="Times New Roman"/>
          <w:b/>
          <w:bCs/>
          <w:sz w:val="24"/>
          <w:szCs w:val="24"/>
          <w:lang w:val="es-MX"/>
        </w:rPr>
        <w:t>: Decretos y Normas Técnicas</w:t>
      </w:r>
    </w:p>
    <w:p w14:paraId="3C3B274E" w14:textId="77777777" w:rsidR="00910963" w:rsidRPr="00910963" w:rsidRDefault="00910963" w:rsidP="00662E0E">
      <w:pPr>
        <w:spacing w:line="360" w:lineRule="auto"/>
        <w:ind w:firstLine="360"/>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En la base de la pirámide se encuentran las regulaciones técnicas (como el Decreto 1.257, que dicta las normas sobre evaluación ambiental de actividades susceptibles de degradar el ambiente).</w:t>
      </w:r>
    </w:p>
    <w:p w14:paraId="445FB10E" w14:textId="77777777" w:rsidR="00910963" w:rsidRPr="00910963" w:rsidRDefault="00910963" w:rsidP="00662E0E">
      <w:pPr>
        <w:numPr>
          <w:ilvl w:val="0"/>
          <w:numId w:val="44"/>
        </w:numPr>
        <w:spacing w:line="360" w:lineRule="auto"/>
        <w:jc w:val="both"/>
        <w:rPr>
          <w:rFonts w:ascii="Times New Roman" w:hAnsi="Times New Roman" w:cs="Times New Roman"/>
          <w:sz w:val="24"/>
          <w:szCs w:val="24"/>
          <w:lang w:val="es-MX"/>
        </w:rPr>
      </w:pPr>
      <w:r w:rsidRPr="00910963">
        <w:rPr>
          <w:rFonts w:ascii="Times New Roman" w:hAnsi="Times New Roman" w:cs="Times New Roman"/>
          <w:sz w:val="24"/>
          <w:szCs w:val="24"/>
          <w:lang w:val="es-MX"/>
        </w:rPr>
        <w:t>Estas normas establecen los límites máximos permisibles de contaminación (por ejemplo, cuántos miligramos de una sustancia pueden verterse en un río o cuántos decibeles de ruido puede generar una fábrica). Sin estas normas técnicas, las leyes superiores serían inaplicables por falta de parámetros de medición.</w:t>
      </w:r>
    </w:p>
    <w:p w14:paraId="48A24F88" w14:textId="23783BA6" w:rsidR="00910963" w:rsidRPr="00662E0E" w:rsidRDefault="00910963" w:rsidP="00662E0E">
      <w:pPr>
        <w:pStyle w:val="Ttulo2"/>
        <w:spacing w:line="360" w:lineRule="auto"/>
        <w:rPr>
          <w:rFonts w:cs="Times New Roman"/>
          <w:szCs w:val="24"/>
        </w:rPr>
      </w:pPr>
      <w:r w:rsidRPr="00662E0E">
        <w:rPr>
          <w:rFonts w:cs="Times New Roman"/>
          <w:szCs w:val="24"/>
        </w:rPr>
        <w:t xml:space="preserve">B. </w:t>
      </w:r>
      <w:proofErr w:type="spellStart"/>
      <w:r w:rsidRPr="00662E0E">
        <w:rPr>
          <w:rFonts w:cs="Times New Roman"/>
          <w:szCs w:val="24"/>
        </w:rPr>
        <w:t>Medidas</w:t>
      </w:r>
      <w:proofErr w:type="spellEnd"/>
      <w:r w:rsidRPr="00662E0E">
        <w:rPr>
          <w:rFonts w:cs="Times New Roman"/>
          <w:szCs w:val="24"/>
        </w:rPr>
        <w:t xml:space="preserve"> para la </w:t>
      </w:r>
      <w:proofErr w:type="spellStart"/>
      <w:r w:rsidRPr="00662E0E">
        <w:rPr>
          <w:rFonts w:cs="Times New Roman"/>
          <w:szCs w:val="24"/>
        </w:rPr>
        <w:t>Protección</w:t>
      </w:r>
      <w:proofErr w:type="spellEnd"/>
      <w:r w:rsidRPr="00662E0E">
        <w:rPr>
          <w:rFonts w:cs="Times New Roman"/>
          <w:szCs w:val="24"/>
        </w:rPr>
        <w:t xml:space="preserve"> del </w:t>
      </w:r>
      <w:proofErr w:type="spellStart"/>
      <w:r w:rsidRPr="00662E0E">
        <w:rPr>
          <w:rFonts w:cs="Times New Roman"/>
          <w:szCs w:val="24"/>
        </w:rPr>
        <w:t>Ambiente</w:t>
      </w:r>
      <w:proofErr w:type="spellEnd"/>
    </w:p>
    <w:p w14:paraId="23F9BC94" w14:textId="77777777" w:rsidR="00662E0E" w:rsidRPr="00662E0E" w:rsidRDefault="00662E0E" w:rsidP="00662E0E">
      <w:pPr>
        <w:spacing w:line="360" w:lineRule="auto"/>
        <w:ind w:firstLine="72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Las medidas de protección en Venezuela se articulan a través de políticas públicas que buscan el equilibrio entre el desarrollo económico y la salud de los ecosistemas. Se pueden clasificar en cuatro grandes ejes:</w:t>
      </w:r>
    </w:p>
    <w:p w14:paraId="3EC44BBD" w14:textId="77777777" w:rsidR="00662E0E" w:rsidRPr="00662E0E" w:rsidRDefault="00662E0E" w:rsidP="00662E0E">
      <w:pPr>
        <w:spacing w:line="360" w:lineRule="auto"/>
        <w:jc w:val="both"/>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1. Ordenación del Territorio y las ABRAE</w:t>
      </w:r>
    </w:p>
    <w:p w14:paraId="0B9A6090" w14:textId="77777777" w:rsidR="00662E0E" w:rsidRPr="00662E0E" w:rsidRDefault="00662E0E" w:rsidP="00662E0E">
      <w:pPr>
        <w:spacing w:line="360" w:lineRule="auto"/>
        <w:ind w:firstLine="36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Esta es la medida de protección física más importante del país. El Estado identifica áreas con características ecológicas únicas y las somete a un régimen de protección especial.</w:t>
      </w:r>
    </w:p>
    <w:p w14:paraId="3C77320E" w14:textId="77777777" w:rsidR="00662E0E" w:rsidRPr="00662E0E" w:rsidRDefault="00662E0E" w:rsidP="00662E0E">
      <w:pPr>
        <w:numPr>
          <w:ilvl w:val="0"/>
          <w:numId w:val="45"/>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lastRenderedPageBreak/>
        <w:t>Áreas Bajo Régimen de Administración Especial (ABRAE): Venezuela posee uno de los sistemas de áreas protegidas más extensos del mundo (cerca del 46% del territorio nacional).</w:t>
      </w:r>
    </w:p>
    <w:p w14:paraId="43C81056" w14:textId="77777777" w:rsidR="00662E0E" w:rsidRPr="00662E0E" w:rsidRDefault="00662E0E" w:rsidP="00662E0E">
      <w:pPr>
        <w:numPr>
          <w:ilvl w:val="1"/>
          <w:numId w:val="45"/>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Parques Nacionales: Destinados a la preservación de ecosistemas de importancia nacional (ej. Canaima, El Ávila/</w:t>
      </w:r>
      <w:proofErr w:type="spellStart"/>
      <w:r w:rsidRPr="00662E0E">
        <w:rPr>
          <w:rFonts w:ascii="Times New Roman" w:hAnsi="Times New Roman" w:cs="Times New Roman"/>
          <w:sz w:val="24"/>
          <w:szCs w:val="24"/>
          <w:lang w:val="es-MX"/>
        </w:rPr>
        <w:t>Waraira</w:t>
      </w:r>
      <w:proofErr w:type="spellEnd"/>
      <w:r w:rsidRPr="00662E0E">
        <w:rPr>
          <w:rFonts w:ascii="Times New Roman" w:hAnsi="Times New Roman" w:cs="Times New Roman"/>
          <w:sz w:val="24"/>
          <w:szCs w:val="24"/>
          <w:lang w:val="es-MX"/>
        </w:rPr>
        <w:t xml:space="preserve"> </w:t>
      </w:r>
      <w:proofErr w:type="spellStart"/>
      <w:r w:rsidRPr="00662E0E">
        <w:rPr>
          <w:rFonts w:ascii="Times New Roman" w:hAnsi="Times New Roman" w:cs="Times New Roman"/>
          <w:sz w:val="24"/>
          <w:szCs w:val="24"/>
          <w:lang w:val="es-MX"/>
        </w:rPr>
        <w:t>Repano</w:t>
      </w:r>
      <w:proofErr w:type="spellEnd"/>
      <w:r w:rsidRPr="00662E0E">
        <w:rPr>
          <w:rFonts w:ascii="Times New Roman" w:hAnsi="Times New Roman" w:cs="Times New Roman"/>
          <w:sz w:val="24"/>
          <w:szCs w:val="24"/>
          <w:lang w:val="es-MX"/>
        </w:rPr>
        <w:t>). Aquí las actividades humanas están estrictamente restringidas a la recreación pasiva e investigación.</w:t>
      </w:r>
    </w:p>
    <w:p w14:paraId="6D27977E" w14:textId="77777777" w:rsidR="00662E0E" w:rsidRPr="00662E0E" w:rsidRDefault="00662E0E" w:rsidP="00662E0E">
      <w:pPr>
        <w:numPr>
          <w:ilvl w:val="1"/>
          <w:numId w:val="45"/>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Monumentos Naturales: Protegen accidentes geográficos o sitios de valor estético o científico único (ej. Los Tepuyes).</w:t>
      </w:r>
    </w:p>
    <w:p w14:paraId="22EBBE54" w14:textId="77777777" w:rsidR="00662E0E" w:rsidRPr="00662E0E" w:rsidRDefault="00662E0E" w:rsidP="00662E0E">
      <w:pPr>
        <w:numPr>
          <w:ilvl w:val="1"/>
          <w:numId w:val="45"/>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Reservas de Biosfera: Buscan el equilibrio entre la biodiversidad y el uso sustentable por parte de comunidades locales (ej. Reserva de Biosfera del Delta del Orinoco).</w:t>
      </w:r>
    </w:p>
    <w:p w14:paraId="48F1523D" w14:textId="77777777" w:rsidR="00662E0E" w:rsidRPr="00662E0E" w:rsidRDefault="00662E0E" w:rsidP="00662E0E">
      <w:pPr>
        <w:numPr>
          <w:ilvl w:val="1"/>
          <w:numId w:val="45"/>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Refugios de Fauna Silvestre: Áreas críticas para la supervivencia, alimentación y reproducción de especies animales.</w:t>
      </w:r>
    </w:p>
    <w:p w14:paraId="6CECD110" w14:textId="77777777" w:rsidR="00662E0E" w:rsidRPr="00662E0E" w:rsidRDefault="00662E0E" w:rsidP="00662E0E">
      <w:pPr>
        <w:spacing w:line="360" w:lineRule="auto"/>
        <w:jc w:val="both"/>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2. Mecanismos de Control Preventivo: Los EIASC</w:t>
      </w:r>
    </w:p>
    <w:p w14:paraId="541D4A06" w14:textId="77777777" w:rsidR="00662E0E" w:rsidRPr="00662E0E" w:rsidRDefault="00662E0E" w:rsidP="00662E0E">
      <w:pPr>
        <w:spacing w:line="360" w:lineRule="auto"/>
        <w:ind w:firstLine="36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Antes de que se ponga la primera piedra de cualquier proyecto industrial, minero o urbanístico, el Estado impone medidas de control:</w:t>
      </w:r>
    </w:p>
    <w:p w14:paraId="02ADA1B9" w14:textId="77777777" w:rsidR="00662E0E" w:rsidRPr="00662E0E" w:rsidRDefault="00662E0E" w:rsidP="00662E0E">
      <w:pPr>
        <w:numPr>
          <w:ilvl w:val="0"/>
          <w:numId w:val="46"/>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Estudios de Impacto Ambiental y Sociocultural (EIASC): Es un documento técnico donde se predicen los efectos que una actividad tendrá sobre el aire, agua, suelo y comunidades humanas.</w:t>
      </w:r>
    </w:p>
    <w:p w14:paraId="5A21EC01" w14:textId="77777777" w:rsidR="00662E0E" w:rsidRPr="00662E0E" w:rsidRDefault="00662E0E" w:rsidP="00662E0E">
      <w:pPr>
        <w:numPr>
          <w:ilvl w:val="0"/>
          <w:numId w:val="46"/>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Autorizaciones y Contratos de Aprovechamiento: El Ministerio del Poder Popular para el Ecosocialismo (MINEC) emite la "Acreditación de Cumplimiento Ambiental". Sin este permiso, cualquier actividad económica se considera ilegal.</w:t>
      </w:r>
    </w:p>
    <w:p w14:paraId="6267CC3D" w14:textId="77777777" w:rsidR="00662E0E" w:rsidRPr="00662E0E" w:rsidRDefault="00662E0E" w:rsidP="00662E0E">
      <w:pPr>
        <w:numPr>
          <w:ilvl w:val="0"/>
          <w:numId w:val="46"/>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lastRenderedPageBreak/>
        <w:t>Auditorías Ambientales: Procedimientos de revisión periódica para verificar que las empresas instaladas estén cumpliendo con los parámetros de emisión y vertido permitidos.</w:t>
      </w:r>
    </w:p>
    <w:p w14:paraId="431323E4" w14:textId="77777777" w:rsidR="00662E0E" w:rsidRPr="00662E0E" w:rsidRDefault="00662E0E" w:rsidP="00662E0E">
      <w:pPr>
        <w:spacing w:line="360" w:lineRule="auto"/>
        <w:jc w:val="both"/>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3. Medidas de Comando y Control (Fiscalización)</w:t>
      </w:r>
    </w:p>
    <w:p w14:paraId="5054B29A" w14:textId="77777777" w:rsidR="00662E0E" w:rsidRPr="00662E0E" w:rsidRDefault="00662E0E" w:rsidP="00662E0E">
      <w:pPr>
        <w:spacing w:line="360" w:lineRule="auto"/>
        <w:ind w:firstLine="36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Se refiere a la vigilancia y la aplicación de la fuerza de ley para detener agresiones ambientales en tiempo real.</w:t>
      </w:r>
    </w:p>
    <w:p w14:paraId="5C549071" w14:textId="77777777" w:rsidR="00662E0E" w:rsidRPr="00662E0E" w:rsidRDefault="00662E0E" w:rsidP="00662E0E">
      <w:pPr>
        <w:numPr>
          <w:ilvl w:val="0"/>
          <w:numId w:val="47"/>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La Guardería Ambiental: Ejercida principalmente por la Guardia Nacional Bolivariana. Sus funciones incluyen el patrullaje en zonas protegidas, la detención de personas por tala ilegal, minería no autorizada o tráfico de especies.</w:t>
      </w:r>
    </w:p>
    <w:p w14:paraId="3336185E" w14:textId="77777777" w:rsidR="00662E0E" w:rsidRPr="00662E0E" w:rsidRDefault="00662E0E" w:rsidP="00662E0E">
      <w:pPr>
        <w:numPr>
          <w:ilvl w:val="0"/>
          <w:numId w:val="47"/>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La Vigilancia Epidemiológica y de Calidad Ambiental: Monitoreo constante de las redes de agua potable, la calidad del aire en zonas industriales (como Valencia o Puerto La Cruz) y el manejo de desechos peligrosos.</w:t>
      </w:r>
    </w:p>
    <w:p w14:paraId="3D519568" w14:textId="77777777" w:rsidR="00662E0E" w:rsidRPr="00662E0E" w:rsidRDefault="00662E0E" w:rsidP="00662E0E">
      <w:pPr>
        <w:numPr>
          <w:ilvl w:val="0"/>
          <w:numId w:val="47"/>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Sanciones Administrativas: Incluyen la imposición de multas, la clausura temporal o definitiva de establecimientos y el decomiso de instrumentos utilizados para dañar el ambiente.</w:t>
      </w:r>
    </w:p>
    <w:p w14:paraId="7DDD86A7" w14:textId="77777777" w:rsidR="00662E0E" w:rsidRPr="00662E0E" w:rsidRDefault="00662E0E" w:rsidP="00662E0E">
      <w:pPr>
        <w:spacing w:line="360" w:lineRule="auto"/>
        <w:jc w:val="both"/>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4. Medidas Educativas y de Concientización (Educación Ambiental)</w:t>
      </w:r>
    </w:p>
    <w:p w14:paraId="3683A6A3" w14:textId="77777777" w:rsidR="00662E0E" w:rsidRPr="00662E0E" w:rsidRDefault="00662E0E" w:rsidP="00662E0E">
      <w:p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El Estado reconoce que no puede haber protección sin cultura ecológica.</w:t>
      </w:r>
    </w:p>
    <w:p w14:paraId="739C7954" w14:textId="77777777" w:rsidR="00662E0E" w:rsidRPr="00662E0E" w:rsidRDefault="00662E0E" w:rsidP="00662E0E">
      <w:pPr>
        <w:numPr>
          <w:ilvl w:val="0"/>
          <w:numId w:val="48"/>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Estrategia Nacional de Educación Ambiental: Se implementa de forma obligatoria en todos los niveles del sistema educativo (básica, media y universitaria).</w:t>
      </w:r>
    </w:p>
    <w:p w14:paraId="54E77B9B" w14:textId="77777777" w:rsidR="00662E0E" w:rsidRPr="00662E0E" w:rsidRDefault="00662E0E" w:rsidP="00662E0E">
      <w:pPr>
        <w:numPr>
          <w:ilvl w:val="0"/>
          <w:numId w:val="48"/>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Brigadas Ecosocialistas: Movimientos juveniles y comunitarios que promueven la reforestación, el reciclaje y la limpieza de cuencas hidrográficas.</w:t>
      </w:r>
    </w:p>
    <w:p w14:paraId="4F7DDF52" w14:textId="77777777" w:rsidR="00662E0E" w:rsidRPr="00662E0E" w:rsidRDefault="00662E0E" w:rsidP="00662E0E">
      <w:pPr>
        <w:numPr>
          <w:ilvl w:val="0"/>
          <w:numId w:val="48"/>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lastRenderedPageBreak/>
        <w:t>Investigación Científica: El apoyo a instituciones como el IVIC (Instituto Venezolano de Investigaciones Científicas) para generar datos sobre el cambio climático y la pérdida de biodiversidad en el territorio.</w:t>
      </w:r>
    </w:p>
    <w:p w14:paraId="19A9872C" w14:textId="6DAAEC5D" w:rsidR="00910963" w:rsidRPr="00662E0E" w:rsidRDefault="00662E0E" w:rsidP="00662E0E">
      <w:pPr>
        <w:pStyle w:val="Ttulo2"/>
        <w:spacing w:line="360" w:lineRule="auto"/>
        <w:rPr>
          <w:rFonts w:cs="Times New Roman"/>
          <w:szCs w:val="24"/>
        </w:rPr>
      </w:pPr>
      <w:r w:rsidRPr="00662E0E">
        <w:rPr>
          <w:rFonts w:cs="Times New Roman"/>
          <w:szCs w:val="24"/>
        </w:rPr>
        <w:t xml:space="preserve">C. </w:t>
      </w:r>
      <w:proofErr w:type="spellStart"/>
      <w:r w:rsidRPr="00662E0E">
        <w:rPr>
          <w:rFonts w:cs="Times New Roman"/>
          <w:szCs w:val="24"/>
        </w:rPr>
        <w:t>Análisis</w:t>
      </w:r>
      <w:proofErr w:type="spellEnd"/>
      <w:r w:rsidRPr="00662E0E">
        <w:rPr>
          <w:rFonts w:cs="Times New Roman"/>
          <w:szCs w:val="24"/>
        </w:rPr>
        <w:t xml:space="preserve"> </w:t>
      </w:r>
      <w:proofErr w:type="spellStart"/>
      <w:r w:rsidRPr="00662E0E">
        <w:rPr>
          <w:rFonts w:cs="Times New Roman"/>
          <w:szCs w:val="24"/>
        </w:rPr>
        <w:t>Crítico</w:t>
      </w:r>
      <w:proofErr w:type="spellEnd"/>
      <w:r w:rsidRPr="00662E0E">
        <w:rPr>
          <w:rFonts w:cs="Times New Roman"/>
          <w:szCs w:val="24"/>
        </w:rPr>
        <w:t xml:space="preserve">: </w:t>
      </w:r>
      <w:proofErr w:type="spellStart"/>
      <w:r w:rsidRPr="00662E0E">
        <w:rPr>
          <w:rFonts w:cs="Times New Roman"/>
          <w:szCs w:val="24"/>
        </w:rPr>
        <w:t>Realidad</w:t>
      </w:r>
      <w:proofErr w:type="spellEnd"/>
      <w:r w:rsidRPr="00662E0E">
        <w:rPr>
          <w:rFonts w:cs="Times New Roman"/>
          <w:szCs w:val="24"/>
        </w:rPr>
        <w:t xml:space="preserve"> vs. </w:t>
      </w:r>
      <w:proofErr w:type="spellStart"/>
      <w:r w:rsidRPr="00662E0E">
        <w:rPr>
          <w:rFonts w:cs="Times New Roman"/>
          <w:szCs w:val="24"/>
        </w:rPr>
        <w:t>Normativa</w:t>
      </w:r>
      <w:proofErr w:type="spellEnd"/>
    </w:p>
    <w:p w14:paraId="71C3F0A6" w14:textId="77777777" w:rsidR="00662E0E" w:rsidRPr="00662E0E" w:rsidRDefault="00662E0E" w:rsidP="00662E0E">
      <w:pPr>
        <w:spacing w:line="360" w:lineRule="auto"/>
        <w:ind w:firstLine="720"/>
        <w:rPr>
          <w:rFonts w:ascii="Times New Roman" w:hAnsi="Times New Roman" w:cs="Times New Roman"/>
          <w:sz w:val="24"/>
          <w:szCs w:val="24"/>
          <w:lang w:val="es-MX"/>
        </w:rPr>
      </w:pPr>
      <w:r w:rsidRPr="00662E0E">
        <w:rPr>
          <w:rFonts w:ascii="Times New Roman" w:hAnsi="Times New Roman" w:cs="Times New Roman"/>
          <w:sz w:val="24"/>
          <w:szCs w:val="24"/>
          <w:lang w:val="es-MX"/>
        </w:rPr>
        <w:t>Al evaluar el estado de la protección ambiental en Venezuela, surge una contradicción evidente entre la riqueza del texto legal y la vulnerabilidad de los ecosistemas. Este análisis se centra en tres puntos críticos:</w:t>
      </w:r>
    </w:p>
    <w:p w14:paraId="04F40D10" w14:textId="77777777" w:rsidR="00662E0E" w:rsidRPr="00662E0E" w:rsidRDefault="00662E0E" w:rsidP="00662E0E">
      <w:pPr>
        <w:spacing w:line="360" w:lineRule="auto"/>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1. El Conflicto entre el Desarrollo Extractivista y la Conservación</w:t>
      </w:r>
    </w:p>
    <w:p w14:paraId="21A5E2ED" w14:textId="77777777" w:rsidR="00662E0E" w:rsidRPr="00662E0E" w:rsidRDefault="00662E0E" w:rsidP="00662E0E">
      <w:pPr>
        <w:spacing w:line="360" w:lineRule="auto"/>
        <w:ind w:firstLine="36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Venezuela posee una de las legislaciones más proteccionistas del mundo; sin embargo, su economía depende históricamente de la extracción de recursos naturales.</w:t>
      </w:r>
    </w:p>
    <w:p w14:paraId="73FF55D7" w14:textId="77777777" w:rsidR="00662E0E" w:rsidRPr="00662E0E" w:rsidRDefault="00662E0E" w:rsidP="00662E0E">
      <w:pPr>
        <w:numPr>
          <w:ilvl w:val="0"/>
          <w:numId w:val="49"/>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El Caso del Arco Minero: A pesar de que la Constitución (Art. 129) exige estudios de impacto ambiental, la actividad minera en el sur del país ha generado una deforestación masiva y contaminación por mercurio en cuencas vitales. Esto demuestra que, en ocasiones, la urgencia económica se antepone a la rigurosidad de las ABRAE (Áreas Bajo Régimen de Administración Especial).</w:t>
      </w:r>
    </w:p>
    <w:p w14:paraId="258D1EB4" w14:textId="77777777" w:rsidR="00662E0E" w:rsidRPr="00662E0E" w:rsidRDefault="00662E0E" w:rsidP="00662E0E">
      <w:pPr>
        <w:spacing w:line="360" w:lineRule="auto"/>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t>2. La Brecha en la Aplicación de la Ley (Impunidad Ambiental)</w:t>
      </w:r>
    </w:p>
    <w:p w14:paraId="31DFB423" w14:textId="77777777" w:rsidR="00662E0E" w:rsidRPr="00662E0E" w:rsidRDefault="00662E0E" w:rsidP="00662E0E">
      <w:p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La Ley Penal del Ambiente es sumamente estricta, pero su aplicación es limitada.</w:t>
      </w:r>
    </w:p>
    <w:p w14:paraId="6E0E66E6" w14:textId="77777777" w:rsidR="00662E0E" w:rsidRPr="00662E0E" w:rsidRDefault="00662E0E" w:rsidP="00662E0E">
      <w:pPr>
        <w:numPr>
          <w:ilvl w:val="0"/>
          <w:numId w:val="50"/>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La falta de recursos técnicos y financieros para los organismos de fiscalización (como el INPARQUES o el MINEC) impide un monitoreo efectivo en tiempo real.</w:t>
      </w:r>
    </w:p>
    <w:p w14:paraId="398E6AA2" w14:textId="77777777" w:rsidR="00662E0E" w:rsidRPr="00662E0E" w:rsidRDefault="00662E0E" w:rsidP="00662E0E">
      <w:pPr>
        <w:numPr>
          <w:ilvl w:val="0"/>
          <w:numId w:val="50"/>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Existe una debilidad en el sistema de justicia para procesar delitos ambientales complejos, lo que genera una sensación de impunidad que incentiva la tala, la quema y el comercio ilícito de fauna silvestre.</w:t>
      </w:r>
    </w:p>
    <w:p w14:paraId="279DA40B" w14:textId="77777777" w:rsidR="00662E0E" w:rsidRPr="00662E0E" w:rsidRDefault="00662E0E" w:rsidP="00662E0E">
      <w:pPr>
        <w:spacing w:line="360" w:lineRule="auto"/>
        <w:rPr>
          <w:rFonts w:ascii="Times New Roman" w:hAnsi="Times New Roman" w:cs="Times New Roman"/>
          <w:b/>
          <w:bCs/>
          <w:sz w:val="24"/>
          <w:szCs w:val="24"/>
          <w:lang w:val="es-MX"/>
        </w:rPr>
      </w:pPr>
      <w:r w:rsidRPr="00662E0E">
        <w:rPr>
          <w:rFonts w:ascii="Times New Roman" w:hAnsi="Times New Roman" w:cs="Times New Roman"/>
          <w:b/>
          <w:bCs/>
          <w:sz w:val="24"/>
          <w:szCs w:val="24"/>
          <w:lang w:val="es-MX"/>
        </w:rPr>
        <w:lastRenderedPageBreak/>
        <w:t>3. El Desafío de los Servicios Públicos y la Gestión de Desechos</w:t>
      </w:r>
    </w:p>
    <w:p w14:paraId="65AAEFA5" w14:textId="77777777" w:rsidR="00662E0E" w:rsidRPr="00662E0E" w:rsidRDefault="00662E0E" w:rsidP="00662E0E">
      <w:pPr>
        <w:spacing w:line="360" w:lineRule="auto"/>
        <w:ind w:firstLine="72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A nivel municipal, las medidas de protección ambiental son deficientes. La mayoría de las ciudades venezolanas carecen de sistemas de reciclaje tecnificados y plantas de tratamiento de aguas servidas operacionales. Esto convierte a los ríos y costas en receptores directos de contaminación, vulnerando el derecho constitucional a un ambiente sano.</w:t>
      </w:r>
    </w:p>
    <w:p w14:paraId="629C54B5" w14:textId="77777777" w:rsidR="00662E0E" w:rsidRPr="00662E0E" w:rsidRDefault="00662E0E" w:rsidP="00662E0E">
      <w:pPr>
        <w:spacing w:line="360" w:lineRule="auto"/>
        <w:ind w:firstLine="720"/>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Venezuela tiene la "armadura" legal necesaria para ser una potencia ecológica, pero la armadura está vacía si no hay voluntad política, presupuesto institucional y una ciudadanía activa. La protección ambiental no debe verse como un obstáculo al desarrollo, sino como la única garantía de que dicho desarrollo sea sostenible a largo plazo. Sin una gestión ambiental transparente, el patrimonio natural del país corre el riesgo de degradarse de forma irreversible.</w:t>
      </w:r>
    </w:p>
    <w:p w14:paraId="4F858DA8" w14:textId="77777777" w:rsidR="00662E0E" w:rsidRDefault="00662E0E" w:rsidP="00662E0E"/>
    <w:p w14:paraId="0CFB1B5F" w14:textId="77777777" w:rsidR="00662E0E" w:rsidRDefault="00662E0E" w:rsidP="00662E0E"/>
    <w:p w14:paraId="2EE8666D" w14:textId="77777777" w:rsidR="00662E0E" w:rsidRDefault="00662E0E" w:rsidP="00662E0E"/>
    <w:p w14:paraId="4830691F" w14:textId="77777777" w:rsidR="00662E0E" w:rsidRDefault="00662E0E" w:rsidP="00662E0E"/>
    <w:p w14:paraId="4DD87394" w14:textId="77777777" w:rsidR="00662E0E" w:rsidRDefault="00662E0E" w:rsidP="00662E0E"/>
    <w:p w14:paraId="6544C502" w14:textId="77777777" w:rsidR="00662E0E" w:rsidRDefault="00662E0E" w:rsidP="00662E0E"/>
    <w:p w14:paraId="2B4F8A0C" w14:textId="77777777" w:rsidR="00662E0E" w:rsidRDefault="00662E0E" w:rsidP="00662E0E"/>
    <w:p w14:paraId="4CC7998B" w14:textId="77777777" w:rsidR="00662E0E" w:rsidRDefault="00662E0E" w:rsidP="00662E0E"/>
    <w:p w14:paraId="428843E5" w14:textId="77777777" w:rsidR="00662E0E" w:rsidRDefault="00662E0E" w:rsidP="00662E0E"/>
    <w:p w14:paraId="50E928DA" w14:textId="77777777" w:rsidR="00662E0E" w:rsidRDefault="00662E0E" w:rsidP="00662E0E"/>
    <w:p w14:paraId="3D97B349" w14:textId="77777777" w:rsidR="00662E0E" w:rsidRDefault="00662E0E" w:rsidP="00662E0E"/>
    <w:p w14:paraId="630067F6" w14:textId="77777777" w:rsidR="00662E0E" w:rsidRDefault="00662E0E" w:rsidP="00662E0E"/>
    <w:p w14:paraId="5E3BADC8" w14:textId="77777777" w:rsidR="00662E0E" w:rsidRDefault="00662E0E" w:rsidP="00662E0E"/>
    <w:p w14:paraId="74E967BC" w14:textId="1A9EE8F2" w:rsidR="00662E0E" w:rsidRDefault="00662E0E" w:rsidP="00662E0E">
      <w:pPr>
        <w:pStyle w:val="Ttulo1"/>
        <w:spacing w:line="360" w:lineRule="auto"/>
      </w:pPr>
      <w:proofErr w:type="spellStart"/>
      <w:r>
        <w:lastRenderedPageBreak/>
        <w:t>Referencias</w:t>
      </w:r>
      <w:proofErr w:type="spellEnd"/>
      <w:r>
        <w:t xml:space="preserve"> </w:t>
      </w:r>
      <w:proofErr w:type="spellStart"/>
      <w:r>
        <w:t>Bibliográficas</w:t>
      </w:r>
      <w:proofErr w:type="spellEnd"/>
    </w:p>
    <w:p w14:paraId="42F6EAC2" w14:textId="1E977A3D"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Asamblea Nacional Constituyente. (1999). Constitución de la República Bolivariana de Venezuela. Gaceta Oficial </w:t>
      </w:r>
      <w:proofErr w:type="spellStart"/>
      <w:r w:rsidRPr="00662E0E">
        <w:rPr>
          <w:rFonts w:ascii="Times New Roman" w:hAnsi="Times New Roman" w:cs="Times New Roman"/>
          <w:sz w:val="24"/>
          <w:szCs w:val="24"/>
          <w:lang w:val="es-MX"/>
        </w:rPr>
        <w:t>N°</w:t>
      </w:r>
      <w:proofErr w:type="spellEnd"/>
      <w:r w:rsidRPr="00662E0E">
        <w:rPr>
          <w:rFonts w:ascii="Times New Roman" w:hAnsi="Times New Roman" w:cs="Times New Roman"/>
          <w:sz w:val="24"/>
          <w:szCs w:val="24"/>
          <w:lang w:val="es-MX"/>
        </w:rPr>
        <w:t xml:space="preserve"> 5.453 (Extraordinaria), 24 de marzo de 2000.</w:t>
      </w:r>
    </w:p>
    <w:p w14:paraId="1598EF98" w14:textId="60E14559"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Asamblea Nacional de la República Bolivariana de Venezuela. (2006). Ley Orgánica del Ambiente. Gaceta Oficial </w:t>
      </w:r>
      <w:proofErr w:type="spellStart"/>
      <w:r w:rsidRPr="00662E0E">
        <w:rPr>
          <w:rFonts w:ascii="Times New Roman" w:hAnsi="Times New Roman" w:cs="Times New Roman"/>
          <w:sz w:val="24"/>
          <w:szCs w:val="24"/>
          <w:lang w:val="es-MX"/>
        </w:rPr>
        <w:t>N°</w:t>
      </w:r>
      <w:proofErr w:type="spellEnd"/>
      <w:r w:rsidRPr="00662E0E">
        <w:rPr>
          <w:rFonts w:ascii="Times New Roman" w:hAnsi="Times New Roman" w:cs="Times New Roman"/>
          <w:sz w:val="24"/>
          <w:szCs w:val="24"/>
          <w:lang w:val="es-MX"/>
        </w:rPr>
        <w:t xml:space="preserve"> 5.833 (Extraordinaria), 22 de diciembre de 2006.</w:t>
      </w:r>
    </w:p>
    <w:p w14:paraId="272C48E7" w14:textId="589BC1E6"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Asamblea Nacional de la República Bolivariana de Venezuela. (2012). Ley Penal del Ambiente. Gaceta Oficial </w:t>
      </w:r>
      <w:proofErr w:type="spellStart"/>
      <w:r w:rsidRPr="00662E0E">
        <w:rPr>
          <w:rFonts w:ascii="Times New Roman" w:hAnsi="Times New Roman" w:cs="Times New Roman"/>
          <w:sz w:val="24"/>
          <w:szCs w:val="24"/>
          <w:lang w:val="es-MX"/>
        </w:rPr>
        <w:t>N°</w:t>
      </w:r>
      <w:proofErr w:type="spellEnd"/>
      <w:r w:rsidRPr="00662E0E">
        <w:rPr>
          <w:rFonts w:ascii="Times New Roman" w:hAnsi="Times New Roman" w:cs="Times New Roman"/>
          <w:sz w:val="24"/>
          <w:szCs w:val="24"/>
          <w:lang w:val="es-MX"/>
        </w:rPr>
        <w:t xml:space="preserve"> 39.913, 02 de mayo de 2012.</w:t>
      </w:r>
    </w:p>
    <w:p w14:paraId="68F57F9C" w14:textId="14AAD29E"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Presidencia de la República. (1996). Decreto </w:t>
      </w:r>
      <w:proofErr w:type="spellStart"/>
      <w:r w:rsidRPr="00662E0E">
        <w:rPr>
          <w:rFonts w:ascii="Times New Roman" w:hAnsi="Times New Roman" w:cs="Times New Roman"/>
          <w:sz w:val="24"/>
          <w:szCs w:val="24"/>
          <w:lang w:val="es-MX"/>
        </w:rPr>
        <w:t>N°</w:t>
      </w:r>
      <w:proofErr w:type="spellEnd"/>
      <w:r w:rsidRPr="00662E0E">
        <w:rPr>
          <w:rFonts w:ascii="Times New Roman" w:hAnsi="Times New Roman" w:cs="Times New Roman"/>
          <w:sz w:val="24"/>
          <w:szCs w:val="24"/>
          <w:lang w:val="es-MX"/>
        </w:rPr>
        <w:t xml:space="preserve"> 1.257: Normas sobre Evaluación Ambiental de Actividades Susceptibles de Degradar el Ambiente. Gaceta Oficial </w:t>
      </w:r>
      <w:proofErr w:type="spellStart"/>
      <w:r w:rsidRPr="00662E0E">
        <w:rPr>
          <w:rFonts w:ascii="Times New Roman" w:hAnsi="Times New Roman" w:cs="Times New Roman"/>
          <w:sz w:val="24"/>
          <w:szCs w:val="24"/>
          <w:lang w:val="es-MX"/>
        </w:rPr>
        <w:t>N°</w:t>
      </w:r>
      <w:proofErr w:type="spellEnd"/>
      <w:r w:rsidRPr="00662E0E">
        <w:rPr>
          <w:rFonts w:ascii="Times New Roman" w:hAnsi="Times New Roman" w:cs="Times New Roman"/>
          <w:sz w:val="24"/>
          <w:szCs w:val="24"/>
          <w:lang w:val="es-MX"/>
        </w:rPr>
        <w:t xml:space="preserve"> 35.946.</w:t>
      </w:r>
    </w:p>
    <w:p w14:paraId="1114DED3" w14:textId="449EB643"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García, M. (2021). </w:t>
      </w:r>
      <w:r w:rsidRPr="00662E0E">
        <w:rPr>
          <w:rFonts w:ascii="Times New Roman" w:hAnsi="Times New Roman" w:cs="Times New Roman"/>
          <w:i/>
          <w:iCs/>
          <w:sz w:val="24"/>
          <w:szCs w:val="24"/>
          <w:lang w:val="es-MX"/>
        </w:rPr>
        <w:t>Derecho y Gestión Ambiental en Venezuela: Desafíos del Siglo XXI</w:t>
      </w:r>
      <w:r w:rsidRPr="00662E0E">
        <w:rPr>
          <w:rFonts w:ascii="Times New Roman" w:hAnsi="Times New Roman" w:cs="Times New Roman"/>
          <w:sz w:val="24"/>
          <w:szCs w:val="24"/>
          <w:lang w:val="es-MX"/>
        </w:rPr>
        <w:t>. Caracas: Ediciones de la Universidad Central de Venezuela.</w:t>
      </w:r>
    </w:p>
    <w:p w14:paraId="68B4ECBD" w14:textId="64B675C4"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Ministerio del Poder Popular para el Ecosocialismo (MINEC). (2024). </w:t>
      </w:r>
      <w:r w:rsidRPr="00662E0E">
        <w:rPr>
          <w:rFonts w:ascii="Times New Roman" w:hAnsi="Times New Roman" w:cs="Times New Roman"/>
          <w:i/>
          <w:iCs/>
          <w:sz w:val="24"/>
          <w:szCs w:val="24"/>
          <w:lang w:val="es-MX"/>
        </w:rPr>
        <w:t>Informe Nacional sobre el Estado del Ambiente y las ABRAE</w:t>
      </w:r>
      <w:r w:rsidRPr="00662E0E">
        <w:rPr>
          <w:rFonts w:ascii="Times New Roman" w:hAnsi="Times New Roman" w:cs="Times New Roman"/>
          <w:sz w:val="24"/>
          <w:szCs w:val="24"/>
          <w:lang w:val="es-MX"/>
        </w:rPr>
        <w:t>. Caracas, Venezuela.</w:t>
      </w:r>
    </w:p>
    <w:p w14:paraId="7FEAEF50" w14:textId="206E37FD" w:rsidR="00662E0E" w:rsidRPr="00662E0E" w:rsidRDefault="00662E0E" w:rsidP="00662E0E">
      <w:pPr>
        <w:pStyle w:val="Prrafodelista"/>
        <w:numPr>
          <w:ilvl w:val="0"/>
          <w:numId w:val="51"/>
        </w:numPr>
        <w:spacing w:line="360" w:lineRule="auto"/>
        <w:jc w:val="both"/>
        <w:rPr>
          <w:rFonts w:ascii="Times New Roman" w:hAnsi="Times New Roman" w:cs="Times New Roman"/>
          <w:sz w:val="24"/>
          <w:szCs w:val="24"/>
          <w:lang w:val="es-MX"/>
        </w:rPr>
      </w:pPr>
      <w:r w:rsidRPr="00662E0E">
        <w:rPr>
          <w:rFonts w:ascii="Times New Roman" w:hAnsi="Times New Roman" w:cs="Times New Roman"/>
          <w:sz w:val="24"/>
          <w:szCs w:val="24"/>
          <w:lang w:val="es-MX"/>
        </w:rPr>
        <w:t xml:space="preserve">Sosa, J. (2022). </w:t>
      </w:r>
      <w:r w:rsidRPr="00662E0E">
        <w:rPr>
          <w:rFonts w:ascii="Times New Roman" w:hAnsi="Times New Roman" w:cs="Times New Roman"/>
          <w:i/>
          <w:iCs/>
          <w:sz w:val="24"/>
          <w:szCs w:val="24"/>
          <w:lang w:val="es-MX"/>
        </w:rPr>
        <w:t>La pirámide de Kelsen aplicada al derecho ambiental venezolano</w:t>
      </w:r>
      <w:r w:rsidRPr="00662E0E">
        <w:rPr>
          <w:rFonts w:ascii="Times New Roman" w:hAnsi="Times New Roman" w:cs="Times New Roman"/>
          <w:sz w:val="24"/>
          <w:szCs w:val="24"/>
          <w:lang w:val="es-MX"/>
        </w:rPr>
        <w:t>. Revista de Derecho Público, Vol. 45 (2).</w:t>
      </w:r>
    </w:p>
    <w:p w14:paraId="46624CEA" w14:textId="77777777" w:rsidR="00662E0E" w:rsidRPr="00662E0E" w:rsidRDefault="00662E0E" w:rsidP="00662E0E">
      <w:pPr>
        <w:spacing w:line="360" w:lineRule="auto"/>
      </w:pPr>
    </w:p>
    <w:sectPr w:rsidR="00662E0E" w:rsidRPr="00662E0E"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3C0E" w14:textId="77777777" w:rsidR="00F14612" w:rsidRDefault="00F14612" w:rsidP="004E06D4">
      <w:pPr>
        <w:spacing w:after="0" w:line="240" w:lineRule="auto"/>
      </w:pPr>
      <w:r>
        <w:separator/>
      </w:r>
    </w:p>
  </w:endnote>
  <w:endnote w:type="continuationSeparator" w:id="0">
    <w:p w14:paraId="65249097" w14:textId="77777777" w:rsidR="00F14612" w:rsidRDefault="00F14612"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D102" w14:textId="77777777" w:rsidR="00F14612" w:rsidRDefault="00F14612" w:rsidP="004E06D4">
      <w:pPr>
        <w:spacing w:after="0" w:line="240" w:lineRule="auto"/>
      </w:pPr>
      <w:r>
        <w:separator/>
      </w:r>
    </w:p>
  </w:footnote>
  <w:footnote w:type="continuationSeparator" w:id="0">
    <w:p w14:paraId="74DEF309" w14:textId="77777777" w:rsidR="00F14612" w:rsidRDefault="00F14612"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E3A"/>
    <w:multiLevelType w:val="multilevel"/>
    <w:tmpl w:val="884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4A5A"/>
    <w:multiLevelType w:val="multilevel"/>
    <w:tmpl w:val="3F2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2F13"/>
    <w:multiLevelType w:val="hybridMultilevel"/>
    <w:tmpl w:val="69543778"/>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97565A"/>
    <w:multiLevelType w:val="multilevel"/>
    <w:tmpl w:val="F28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A094C"/>
    <w:multiLevelType w:val="multilevel"/>
    <w:tmpl w:val="98C4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1D5C"/>
    <w:multiLevelType w:val="multilevel"/>
    <w:tmpl w:val="F638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630D8"/>
    <w:multiLevelType w:val="multilevel"/>
    <w:tmpl w:val="2DE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43A23"/>
    <w:multiLevelType w:val="multilevel"/>
    <w:tmpl w:val="1E26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C7F61B4"/>
    <w:multiLevelType w:val="multilevel"/>
    <w:tmpl w:val="E58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61F97"/>
    <w:multiLevelType w:val="multilevel"/>
    <w:tmpl w:val="45D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E2067"/>
    <w:multiLevelType w:val="hybridMultilevel"/>
    <w:tmpl w:val="A6827D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2C3398F"/>
    <w:multiLevelType w:val="multilevel"/>
    <w:tmpl w:val="A3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70735"/>
    <w:multiLevelType w:val="multilevel"/>
    <w:tmpl w:val="50D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64418B"/>
    <w:multiLevelType w:val="multilevel"/>
    <w:tmpl w:val="499C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9617CB"/>
    <w:multiLevelType w:val="multilevel"/>
    <w:tmpl w:val="E5C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20" w15:restartNumberingAfterBreak="0">
    <w:nsid w:val="34A55D5B"/>
    <w:multiLevelType w:val="multilevel"/>
    <w:tmpl w:val="4D8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31E45"/>
    <w:multiLevelType w:val="multilevel"/>
    <w:tmpl w:val="0A7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EDD57FE"/>
    <w:multiLevelType w:val="multilevel"/>
    <w:tmpl w:val="D75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A00D7"/>
    <w:multiLevelType w:val="multilevel"/>
    <w:tmpl w:val="C2F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5D4FC4"/>
    <w:multiLevelType w:val="multilevel"/>
    <w:tmpl w:val="8E6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CF05F53"/>
    <w:multiLevelType w:val="multilevel"/>
    <w:tmpl w:val="5B6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B29F5"/>
    <w:multiLevelType w:val="multilevel"/>
    <w:tmpl w:val="C5F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21CC8"/>
    <w:multiLevelType w:val="multilevel"/>
    <w:tmpl w:val="B6F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F3CF6"/>
    <w:multiLevelType w:val="multilevel"/>
    <w:tmpl w:val="BF8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5B3944"/>
    <w:multiLevelType w:val="multilevel"/>
    <w:tmpl w:val="4C5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56875"/>
    <w:multiLevelType w:val="multilevel"/>
    <w:tmpl w:val="4B5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100E6"/>
    <w:multiLevelType w:val="multilevel"/>
    <w:tmpl w:val="70C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55C36"/>
    <w:multiLevelType w:val="multilevel"/>
    <w:tmpl w:val="A82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57A54"/>
    <w:multiLevelType w:val="multilevel"/>
    <w:tmpl w:val="570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7" w15:restartNumberingAfterBreak="0">
    <w:nsid w:val="5E8C68E6"/>
    <w:multiLevelType w:val="multilevel"/>
    <w:tmpl w:val="1430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00008"/>
    <w:multiLevelType w:val="multilevel"/>
    <w:tmpl w:val="D22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F0A2D"/>
    <w:multiLevelType w:val="multilevel"/>
    <w:tmpl w:val="3C4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EA45DE"/>
    <w:multiLevelType w:val="multilevel"/>
    <w:tmpl w:val="438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446F6"/>
    <w:multiLevelType w:val="multilevel"/>
    <w:tmpl w:val="11A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C8148F"/>
    <w:multiLevelType w:val="hybridMultilevel"/>
    <w:tmpl w:val="1CB46B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431450E"/>
    <w:multiLevelType w:val="multilevel"/>
    <w:tmpl w:val="C5A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97E53"/>
    <w:multiLevelType w:val="multilevel"/>
    <w:tmpl w:val="395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B3592"/>
    <w:multiLevelType w:val="multilevel"/>
    <w:tmpl w:val="BF0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82108"/>
    <w:multiLevelType w:val="multilevel"/>
    <w:tmpl w:val="B86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6283">
    <w:abstractNumId w:val="44"/>
  </w:num>
  <w:num w:numId="2" w16cid:durableId="1609041643">
    <w:abstractNumId w:val="45"/>
  </w:num>
  <w:num w:numId="3" w16cid:durableId="363556638">
    <w:abstractNumId w:val="40"/>
  </w:num>
  <w:num w:numId="4" w16cid:durableId="710616113">
    <w:abstractNumId w:val="10"/>
  </w:num>
  <w:num w:numId="5" w16cid:durableId="957301603">
    <w:abstractNumId w:val="26"/>
  </w:num>
  <w:num w:numId="6" w16cid:durableId="1651863276">
    <w:abstractNumId w:val="22"/>
  </w:num>
  <w:num w:numId="7" w16cid:durableId="920060361">
    <w:abstractNumId w:val="16"/>
  </w:num>
  <w:num w:numId="8" w16cid:durableId="326441774">
    <w:abstractNumId w:val="36"/>
  </w:num>
  <w:num w:numId="9" w16cid:durableId="7755475">
    <w:abstractNumId w:val="19"/>
  </w:num>
  <w:num w:numId="10" w16cid:durableId="821505167">
    <w:abstractNumId w:val="8"/>
  </w:num>
  <w:num w:numId="11" w16cid:durableId="857624297">
    <w:abstractNumId w:val="9"/>
  </w:num>
  <w:num w:numId="12" w16cid:durableId="547373092">
    <w:abstractNumId w:val="46"/>
  </w:num>
  <w:num w:numId="13" w16cid:durableId="533274762">
    <w:abstractNumId w:val="20"/>
  </w:num>
  <w:num w:numId="14" w16cid:durableId="1323002613">
    <w:abstractNumId w:val="6"/>
  </w:num>
  <w:num w:numId="15" w16cid:durableId="1145396580">
    <w:abstractNumId w:val="14"/>
  </w:num>
  <w:num w:numId="16" w16cid:durableId="1288198432">
    <w:abstractNumId w:val="49"/>
  </w:num>
  <w:num w:numId="17" w16cid:durableId="580915168">
    <w:abstractNumId w:val="35"/>
  </w:num>
  <w:num w:numId="18" w16cid:durableId="962610905">
    <w:abstractNumId w:val="39"/>
  </w:num>
  <w:num w:numId="19" w16cid:durableId="1516072891">
    <w:abstractNumId w:val="33"/>
  </w:num>
  <w:num w:numId="20" w16cid:durableId="662273530">
    <w:abstractNumId w:val="32"/>
  </w:num>
  <w:num w:numId="21" w16cid:durableId="1296567079">
    <w:abstractNumId w:val="37"/>
  </w:num>
  <w:num w:numId="22" w16cid:durableId="1478104366">
    <w:abstractNumId w:val="28"/>
  </w:num>
  <w:num w:numId="23" w16cid:durableId="843981036">
    <w:abstractNumId w:val="38"/>
  </w:num>
  <w:num w:numId="24" w16cid:durableId="523058488">
    <w:abstractNumId w:val="17"/>
  </w:num>
  <w:num w:numId="25" w16cid:durableId="1159075362">
    <w:abstractNumId w:val="24"/>
  </w:num>
  <w:num w:numId="26" w16cid:durableId="1017468166">
    <w:abstractNumId w:val="21"/>
  </w:num>
  <w:num w:numId="27" w16cid:durableId="1823309128">
    <w:abstractNumId w:val="50"/>
  </w:num>
  <w:num w:numId="28" w16cid:durableId="883829727">
    <w:abstractNumId w:val="2"/>
  </w:num>
  <w:num w:numId="29" w16cid:durableId="1800687946">
    <w:abstractNumId w:val="31"/>
  </w:num>
  <w:num w:numId="30" w16cid:durableId="1286079533">
    <w:abstractNumId w:val="30"/>
  </w:num>
  <w:num w:numId="31" w16cid:durableId="1446344287">
    <w:abstractNumId w:val="23"/>
  </w:num>
  <w:num w:numId="32" w16cid:durableId="1373265846">
    <w:abstractNumId w:val="43"/>
  </w:num>
  <w:num w:numId="33" w16cid:durableId="1968123546">
    <w:abstractNumId w:val="27"/>
  </w:num>
  <w:num w:numId="34" w16cid:durableId="992372886">
    <w:abstractNumId w:val="5"/>
  </w:num>
  <w:num w:numId="35" w16cid:durableId="174654164">
    <w:abstractNumId w:val="11"/>
  </w:num>
  <w:num w:numId="36" w16cid:durableId="784733594">
    <w:abstractNumId w:val="3"/>
  </w:num>
  <w:num w:numId="37" w16cid:durableId="806553105">
    <w:abstractNumId w:val="1"/>
  </w:num>
  <w:num w:numId="38" w16cid:durableId="1078867734">
    <w:abstractNumId w:val="48"/>
  </w:num>
  <w:num w:numId="39" w16cid:durableId="905534042">
    <w:abstractNumId w:val="15"/>
  </w:num>
  <w:num w:numId="40" w16cid:durableId="1499807090">
    <w:abstractNumId w:val="4"/>
  </w:num>
  <w:num w:numId="41" w16cid:durableId="448356557">
    <w:abstractNumId w:val="47"/>
  </w:num>
  <w:num w:numId="42" w16cid:durableId="88624642">
    <w:abstractNumId w:val="42"/>
  </w:num>
  <w:num w:numId="43" w16cid:durableId="1269002706">
    <w:abstractNumId w:val="41"/>
  </w:num>
  <w:num w:numId="44" w16cid:durableId="961956805">
    <w:abstractNumId w:val="34"/>
  </w:num>
  <w:num w:numId="45" w16cid:durableId="2102531926">
    <w:abstractNumId w:val="7"/>
  </w:num>
  <w:num w:numId="46" w16cid:durableId="1776441647">
    <w:abstractNumId w:val="0"/>
  </w:num>
  <w:num w:numId="47" w16cid:durableId="491215622">
    <w:abstractNumId w:val="12"/>
  </w:num>
  <w:num w:numId="48" w16cid:durableId="822163277">
    <w:abstractNumId w:val="29"/>
  </w:num>
  <w:num w:numId="49" w16cid:durableId="1831020674">
    <w:abstractNumId w:val="18"/>
  </w:num>
  <w:num w:numId="50" w16cid:durableId="1133210017">
    <w:abstractNumId w:val="25"/>
  </w:num>
  <w:num w:numId="51" w16cid:durableId="13504454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81193"/>
    <w:rsid w:val="001820C7"/>
    <w:rsid w:val="001B774B"/>
    <w:rsid w:val="003A6467"/>
    <w:rsid w:val="004E06D4"/>
    <w:rsid w:val="00510A8E"/>
    <w:rsid w:val="00530138"/>
    <w:rsid w:val="00565C43"/>
    <w:rsid w:val="00593611"/>
    <w:rsid w:val="00620E18"/>
    <w:rsid w:val="00662E0E"/>
    <w:rsid w:val="00726983"/>
    <w:rsid w:val="0087176C"/>
    <w:rsid w:val="008A4EBD"/>
    <w:rsid w:val="008A4FE5"/>
    <w:rsid w:val="008B4BB4"/>
    <w:rsid w:val="008E5A5F"/>
    <w:rsid w:val="00910963"/>
    <w:rsid w:val="00967823"/>
    <w:rsid w:val="00A95DA2"/>
    <w:rsid w:val="00AC0529"/>
    <w:rsid w:val="00AE44FC"/>
    <w:rsid w:val="00BB505F"/>
    <w:rsid w:val="00C227D1"/>
    <w:rsid w:val="00D11A93"/>
    <w:rsid w:val="00D16FC3"/>
    <w:rsid w:val="00D40A0F"/>
    <w:rsid w:val="00D541DE"/>
    <w:rsid w:val="00D579EB"/>
    <w:rsid w:val="00E82B45"/>
    <w:rsid w:val="00F14612"/>
    <w:rsid w:val="00F506B8"/>
    <w:rsid w:val="00FB4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C05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character" w:customStyle="1" w:styleId="Ttulo4Car">
    <w:name w:val="Título 4 Car"/>
    <w:basedOn w:val="Fuentedeprrafopredeter"/>
    <w:link w:val="Ttulo4"/>
    <w:uiPriority w:val="9"/>
    <w:semiHidden/>
    <w:rsid w:val="00AC052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1655</Words>
  <Characters>9105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2026-04-10T01:06:00Z</dcterms:created>
  <dcterms:modified xsi:type="dcterms:W3CDTF">2026-04-10T01:06:00Z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