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782B1A4E" w:rsidR="00002EC8" w:rsidRPr="00D40A0F" w:rsidRDefault="00D4683A"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AMBIENTE Y DESARROLLO SOSTENIBLE</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124E5263" w14:textId="6E53FB7E" w:rsidR="00043461" w:rsidRDefault="00043461" w:rsidP="00043461">
      <w:pPr>
        <w:spacing w:line="360" w:lineRule="auto"/>
        <w:jc w:val="center"/>
        <w:rPr>
          <w:rFonts w:ascii="Times New Roman" w:hAnsi="Times New Roman" w:cs="Times New Roman"/>
          <w:b/>
          <w:bCs/>
          <w:sz w:val="26"/>
          <w:szCs w:val="26"/>
        </w:rPr>
      </w:pPr>
      <w:proofErr w:type="spellStart"/>
      <w:r w:rsidRPr="00043461">
        <w:rPr>
          <w:rFonts w:ascii="Times New Roman" w:hAnsi="Times New Roman" w:cs="Times New Roman"/>
          <w:b/>
          <w:bCs/>
          <w:sz w:val="26"/>
          <w:szCs w:val="26"/>
        </w:rPr>
        <w:t>Protección</w:t>
      </w:r>
      <w:proofErr w:type="spellEnd"/>
      <w:r w:rsidRPr="00043461">
        <w:rPr>
          <w:rFonts w:ascii="Times New Roman" w:hAnsi="Times New Roman" w:cs="Times New Roman"/>
          <w:b/>
          <w:bCs/>
          <w:sz w:val="26"/>
          <w:szCs w:val="26"/>
        </w:rPr>
        <w:t xml:space="preserve"> Ambiental:</w:t>
      </w:r>
      <w:r>
        <w:rPr>
          <w:rFonts w:ascii="Times New Roman" w:hAnsi="Times New Roman" w:cs="Times New Roman"/>
          <w:b/>
          <w:bCs/>
          <w:sz w:val="26"/>
          <w:szCs w:val="26"/>
        </w:rPr>
        <w:t xml:space="preserve"> </w:t>
      </w:r>
      <w:proofErr w:type="spellStart"/>
      <w:r w:rsidRPr="00043461">
        <w:rPr>
          <w:rFonts w:ascii="Times New Roman" w:hAnsi="Times New Roman" w:cs="Times New Roman"/>
          <w:b/>
          <w:bCs/>
          <w:sz w:val="26"/>
          <w:szCs w:val="26"/>
        </w:rPr>
        <w:t>Educación</w:t>
      </w:r>
      <w:proofErr w:type="spellEnd"/>
      <w:r w:rsidRPr="00043461">
        <w:rPr>
          <w:rFonts w:ascii="Times New Roman" w:hAnsi="Times New Roman" w:cs="Times New Roman"/>
          <w:b/>
          <w:bCs/>
          <w:sz w:val="26"/>
          <w:szCs w:val="26"/>
        </w:rPr>
        <w:t xml:space="preserve"> como </w:t>
      </w:r>
      <w:proofErr w:type="spellStart"/>
      <w:r w:rsidRPr="00043461">
        <w:rPr>
          <w:rFonts w:ascii="Times New Roman" w:hAnsi="Times New Roman" w:cs="Times New Roman"/>
          <w:b/>
          <w:bCs/>
          <w:sz w:val="26"/>
          <w:szCs w:val="26"/>
        </w:rPr>
        <w:t>herramienta</w:t>
      </w:r>
      <w:proofErr w:type="spellEnd"/>
      <w:r w:rsidRPr="00043461">
        <w:rPr>
          <w:rFonts w:ascii="Times New Roman" w:hAnsi="Times New Roman" w:cs="Times New Roman"/>
          <w:b/>
          <w:bCs/>
          <w:sz w:val="26"/>
          <w:szCs w:val="26"/>
        </w:rPr>
        <w:t xml:space="preserve"> principal.</w:t>
      </w:r>
    </w:p>
    <w:p w14:paraId="3E5545E3" w14:textId="799CE01B" w:rsidR="00D4683A" w:rsidRPr="00D40A0F" w:rsidRDefault="00D4683A" w:rsidP="00043461">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INFORME</w:t>
      </w:r>
    </w:p>
    <w:p w14:paraId="6866E20A" w14:textId="77777777" w:rsidR="00D4683A" w:rsidRPr="00D40A0F" w:rsidRDefault="00D4683A" w:rsidP="00D4683A">
      <w:pPr>
        <w:rPr>
          <w:rFonts w:ascii="Times New Roman" w:hAnsi="Times New Roman" w:cs="Times New Roman"/>
          <w:bCs/>
          <w:sz w:val="26"/>
          <w:szCs w:val="26"/>
          <w:lang w:val="es-VE"/>
        </w:rPr>
      </w:pPr>
    </w:p>
    <w:p w14:paraId="4DFA8BE6" w14:textId="77777777" w:rsidR="00D4683A" w:rsidRPr="00D40A0F" w:rsidRDefault="00D4683A" w:rsidP="00D4683A">
      <w:pPr>
        <w:rPr>
          <w:rFonts w:ascii="Times New Roman" w:hAnsi="Times New Roman" w:cs="Times New Roman"/>
          <w:bCs/>
          <w:sz w:val="26"/>
          <w:szCs w:val="26"/>
          <w:lang w:val="es-VE"/>
        </w:rPr>
      </w:pPr>
    </w:p>
    <w:p w14:paraId="1FD5D079" w14:textId="77777777" w:rsidR="00D4683A" w:rsidRPr="00D40A0F" w:rsidRDefault="00D4683A" w:rsidP="00D4683A">
      <w:pPr>
        <w:rPr>
          <w:rFonts w:ascii="Times New Roman" w:hAnsi="Times New Roman" w:cs="Times New Roman"/>
          <w:bCs/>
          <w:sz w:val="26"/>
          <w:szCs w:val="26"/>
          <w:lang w:val="es-VE"/>
        </w:rPr>
      </w:pPr>
    </w:p>
    <w:p w14:paraId="62DB72CE" w14:textId="77777777" w:rsidR="00D4683A" w:rsidRPr="00D40A0F" w:rsidRDefault="00D4683A" w:rsidP="00D4683A">
      <w:pPr>
        <w:rPr>
          <w:rFonts w:ascii="Times New Roman" w:hAnsi="Times New Roman" w:cs="Times New Roman"/>
          <w:bCs/>
          <w:sz w:val="26"/>
          <w:szCs w:val="26"/>
          <w:lang w:val="es-VE"/>
        </w:rPr>
      </w:pPr>
    </w:p>
    <w:p w14:paraId="12312712" w14:textId="77777777" w:rsidR="00D4683A" w:rsidRPr="00D40A0F" w:rsidRDefault="00D4683A" w:rsidP="00D4683A">
      <w:pPr>
        <w:rPr>
          <w:rFonts w:ascii="Times New Roman" w:hAnsi="Times New Roman" w:cs="Times New Roman"/>
          <w:bCs/>
          <w:sz w:val="26"/>
          <w:szCs w:val="26"/>
          <w:lang w:val="es-VE"/>
        </w:rPr>
      </w:pPr>
    </w:p>
    <w:p w14:paraId="02B485C8" w14:textId="77777777" w:rsidR="00D4683A" w:rsidRPr="00D40A0F" w:rsidRDefault="00D4683A" w:rsidP="00D4683A">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627CEB86" w14:textId="77777777" w:rsidR="00D4683A" w:rsidRPr="003F52B5" w:rsidRDefault="00D4683A" w:rsidP="00D4683A">
      <w:pPr>
        <w:jc w:val="right"/>
        <w:rPr>
          <w:rFonts w:ascii="Times New Roman" w:hAnsi="Times New Roman" w:cs="Times New Roman"/>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Pr="003F52B5">
        <w:rPr>
          <w:rFonts w:ascii="Times New Roman" w:hAnsi="Times New Roman" w:cs="Times New Roman"/>
          <w:sz w:val="26"/>
          <w:szCs w:val="26"/>
          <w:lang w:val="es-MX"/>
        </w:rPr>
        <w:t>Niovis</w:t>
      </w:r>
      <w:proofErr w:type="spellEnd"/>
      <w:r w:rsidRPr="003F52B5">
        <w:rPr>
          <w:rFonts w:ascii="Times New Roman" w:hAnsi="Times New Roman" w:cs="Times New Roman"/>
          <w:sz w:val="26"/>
          <w:szCs w:val="26"/>
          <w:lang w:val="es-MX"/>
        </w:rPr>
        <w:t xml:space="preserve"> </w:t>
      </w:r>
      <w:proofErr w:type="spellStart"/>
      <w:r w:rsidRPr="003F52B5">
        <w:rPr>
          <w:rFonts w:ascii="Times New Roman" w:hAnsi="Times New Roman" w:cs="Times New Roman"/>
          <w:sz w:val="26"/>
          <w:szCs w:val="26"/>
          <w:lang w:val="es-MX"/>
        </w:rPr>
        <w:t>Garcia</w:t>
      </w:r>
      <w:proofErr w:type="spellEnd"/>
      <w:r w:rsidRPr="003F52B5">
        <w:rPr>
          <w:rFonts w:ascii="Times New Roman" w:hAnsi="Times New Roman" w:cs="Times New Roman"/>
          <w:sz w:val="26"/>
          <w:szCs w:val="26"/>
          <w:lang w:val="es-MX"/>
        </w:rPr>
        <w:t xml:space="preserve"> V.- 10.620.452</w:t>
      </w:r>
    </w:p>
    <w:p w14:paraId="6D64516A" w14:textId="77777777" w:rsidR="00D4683A" w:rsidRPr="00D40A0F" w:rsidRDefault="00D4683A" w:rsidP="00D4683A">
      <w:pPr>
        <w:jc w:val="right"/>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3C944944" w14:textId="2EC593CC" w:rsidR="00D4683A" w:rsidRPr="00D40A0F" w:rsidRDefault="00D4683A" w:rsidP="00D4683A">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D70C6F">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1769E84A" w14:textId="3AAFF47B" w:rsidR="00002EC8" w:rsidRPr="00D40A0F" w:rsidRDefault="00593611" w:rsidP="004E06D4">
      <w:pPr>
        <w:tabs>
          <w:tab w:val="left" w:pos="1027"/>
        </w:tabs>
        <w:jc w:val="center"/>
        <w:rPr>
          <w:rFonts w:ascii="Times New Roman" w:hAnsi="Times New Roman" w:cs="Times New Roman"/>
          <w:b/>
          <w:bCs/>
          <w:sz w:val="24"/>
          <w:szCs w:val="24"/>
          <w:lang w:val="es-VE"/>
        </w:rPr>
      </w:pPr>
      <w:r w:rsidRPr="00D40A0F">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08E49898" w14:textId="59203506" w:rsidR="00043461" w:rsidRDefault="004E06D4">
          <w:pPr>
            <w:pStyle w:val="TDC1"/>
            <w:rPr>
              <w:rFonts w:eastAsiaTheme="minorEastAsia"/>
              <w:b w:val="0"/>
              <w:bCs w:val="0"/>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27270259" w:history="1">
            <w:r w:rsidR="00043461" w:rsidRPr="00826D67">
              <w:rPr>
                <w:rStyle w:val="Hipervnculo"/>
                <w:rFonts w:cs="Times New Roman"/>
                <w:lang w:val="es-MX"/>
              </w:rPr>
              <w:t>INTRODUCCIÓN</w:t>
            </w:r>
            <w:r w:rsidR="00043461">
              <w:rPr>
                <w:webHidden/>
              </w:rPr>
              <w:tab/>
            </w:r>
            <w:r w:rsidR="00043461">
              <w:rPr>
                <w:webHidden/>
              </w:rPr>
              <w:fldChar w:fldCharType="begin"/>
            </w:r>
            <w:r w:rsidR="00043461">
              <w:rPr>
                <w:webHidden/>
              </w:rPr>
              <w:instrText xml:space="preserve"> PAGEREF _Toc227270259 \h </w:instrText>
            </w:r>
            <w:r w:rsidR="00043461">
              <w:rPr>
                <w:webHidden/>
              </w:rPr>
            </w:r>
            <w:r w:rsidR="00043461">
              <w:rPr>
                <w:webHidden/>
              </w:rPr>
              <w:fldChar w:fldCharType="separate"/>
            </w:r>
            <w:r w:rsidR="00043461">
              <w:rPr>
                <w:webHidden/>
              </w:rPr>
              <w:t>1</w:t>
            </w:r>
            <w:r w:rsidR="00043461">
              <w:rPr>
                <w:webHidden/>
              </w:rPr>
              <w:fldChar w:fldCharType="end"/>
            </w:r>
          </w:hyperlink>
        </w:p>
        <w:p w14:paraId="44BEC67A" w14:textId="4A329DBB" w:rsidR="00043461" w:rsidRDefault="00043461">
          <w:pPr>
            <w:pStyle w:val="TDC2"/>
            <w:tabs>
              <w:tab w:val="right" w:leader="dot" w:pos="8261"/>
            </w:tabs>
            <w:rPr>
              <w:rFonts w:eastAsiaTheme="minorEastAsia"/>
              <w:noProof/>
              <w:kern w:val="2"/>
              <w:sz w:val="24"/>
              <w:szCs w:val="24"/>
              <w:lang w:val="es-MX" w:eastAsia="es-MX"/>
              <w14:ligatures w14:val="standardContextual"/>
            </w:rPr>
          </w:pPr>
          <w:hyperlink w:anchor="_Toc227270260" w:history="1">
            <w:r w:rsidRPr="00826D67">
              <w:rPr>
                <w:rStyle w:val="Hipervnculo"/>
                <w:noProof/>
              </w:rPr>
              <w:t>Protección Ambiental: La Educación como Herramienta Principal</w:t>
            </w:r>
            <w:r>
              <w:rPr>
                <w:noProof/>
                <w:webHidden/>
              </w:rPr>
              <w:tab/>
            </w:r>
            <w:r>
              <w:rPr>
                <w:noProof/>
                <w:webHidden/>
              </w:rPr>
              <w:fldChar w:fldCharType="begin"/>
            </w:r>
            <w:r>
              <w:rPr>
                <w:noProof/>
                <w:webHidden/>
              </w:rPr>
              <w:instrText xml:space="preserve"> PAGEREF _Toc227270260 \h </w:instrText>
            </w:r>
            <w:r>
              <w:rPr>
                <w:noProof/>
                <w:webHidden/>
              </w:rPr>
            </w:r>
            <w:r>
              <w:rPr>
                <w:noProof/>
                <w:webHidden/>
              </w:rPr>
              <w:fldChar w:fldCharType="separate"/>
            </w:r>
            <w:r>
              <w:rPr>
                <w:noProof/>
                <w:webHidden/>
              </w:rPr>
              <w:t>2</w:t>
            </w:r>
            <w:r>
              <w:rPr>
                <w:noProof/>
                <w:webHidden/>
              </w:rPr>
              <w:fldChar w:fldCharType="end"/>
            </w:r>
          </w:hyperlink>
        </w:p>
        <w:p w14:paraId="65D11D2F" w14:textId="4F954524" w:rsidR="00043461" w:rsidRDefault="00043461">
          <w:pPr>
            <w:pStyle w:val="TDC2"/>
            <w:tabs>
              <w:tab w:val="right" w:leader="dot" w:pos="8261"/>
            </w:tabs>
            <w:rPr>
              <w:rFonts w:eastAsiaTheme="minorEastAsia"/>
              <w:noProof/>
              <w:kern w:val="2"/>
              <w:sz w:val="24"/>
              <w:szCs w:val="24"/>
              <w:lang w:val="es-MX" w:eastAsia="es-MX"/>
              <w14:ligatures w14:val="standardContextual"/>
            </w:rPr>
          </w:pPr>
          <w:hyperlink w:anchor="_Toc227270261" w:history="1">
            <w:r w:rsidRPr="00826D67">
              <w:rPr>
                <w:rStyle w:val="Hipervnculo"/>
                <w:noProof/>
              </w:rPr>
              <w:t>El Rol de la Educación en la Conciencia Ciudadana</w:t>
            </w:r>
            <w:r>
              <w:rPr>
                <w:noProof/>
                <w:webHidden/>
              </w:rPr>
              <w:tab/>
            </w:r>
            <w:r>
              <w:rPr>
                <w:noProof/>
                <w:webHidden/>
              </w:rPr>
              <w:fldChar w:fldCharType="begin"/>
            </w:r>
            <w:r>
              <w:rPr>
                <w:noProof/>
                <w:webHidden/>
              </w:rPr>
              <w:instrText xml:space="preserve"> PAGEREF _Toc227270261 \h </w:instrText>
            </w:r>
            <w:r>
              <w:rPr>
                <w:noProof/>
                <w:webHidden/>
              </w:rPr>
            </w:r>
            <w:r>
              <w:rPr>
                <w:noProof/>
                <w:webHidden/>
              </w:rPr>
              <w:fldChar w:fldCharType="separate"/>
            </w:r>
            <w:r>
              <w:rPr>
                <w:noProof/>
                <w:webHidden/>
              </w:rPr>
              <w:t>3</w:t>
            </w:r>
            <w:r>
              <w:rPr>
                <w:noProof/>
                <w:webHidden/>
              </w:rPr>
              <w:fldChar w:fldCharType="end"/>
            </w:r>
          </w:hyperlink>
        </w:p>
        <w:p w14:paraId="2259940E" w14:textId="514E1A5C" w:rsidR="00043461" w:rsidRDefault="00043461">
          <w:pPr>
            <w:pStyle w:val="TDC2"/>
            <w:tabs>
              <w:tab w:val="right" w:leader="dot" w:pos="8261"/>
            </w:tabs>
            <w:rPr>
              <w:rFonts w:eastAsiaTheme="minorEastAsia"/>
              <w:noProof/>
              <w:kern w:val="2"/>
              <w:sz w:val="24"/>
              <w:szCs w:val="24"/>
              <w:lang w:val="es-MX" w:eastAsia="es-MX"/>
              <w14:ligatures w14:val="standardContextual"/>
            </w:rPr>
          </w:pPr>
          <w:hyperlink w:anchor="_Toc227270262" w:history="1">
            <w:r w:rsidRPr="00826D67">
              <w:rPr>
                <w:rStyle w:val="Hipervnculo"/>
                <w:noProof/>
              </w:rPr>
              <w:t>La Educación Ambiental como Política de Estado</w:t>
            </w:r>
            <w:r>
              <w:rPr>
                <w:noProof/>
                <w:webHidden/>
              </w:rPr>
              <w:tab/>
            </w:r>
            <w:r>
              <w:rPr>
                <w:noProof/>
                <w:webHidden/>
              </w:rPr>
              <w:fldChar w:fldCharType="begin"/>
            </w:r>
            <w:r>
              <w:rPr>
                <w:noProof/>
                <w:webHidden/>
              </w:rPr>
              <w:instrText xml:space="preserve"> PAGEREF _Toc227270262 \h </w:instrText>
            </w:r>
            <w:r>
              <w:rPr>
                <w:noProof/>
                <w:webHidden/>
              </w:rPr>
            </w:r>
            <w:r>
              <w:rPr>
                <w:noProof/>
                <w:webHidden/>
              </w:rPr>
              <w:fldChar w:fldCharType="separate"/>
            </w:r>
            <w:r>
              <w:rPr>
                <w:noProof/>
                <w:webHidden/>
              </w:rPr>
              <w:t>4</w:t>
            </w:r>
            <w:r>
              <w:rPr>
                <w:noProof/>
                <w:webHidden/>
              </w:rPr>
              <w:fldChar w:fldCharType="end"/>
            </w:r>
          </w:hyperlink>
        </w:p>
        <w:p w14:paraId="619199DA" w14:textId="50E175D3" w:rsidR="00043461" w:rsidRDefault="00043461">
          <w:pPr>
            <w:pStyle w:val="TDC2"/>
            <w:tabs>
              <w:tab w:val="right" w:leader="dot" w:pos="8261"/>
            </w:tabs>
            <w:rPr>
              <w:rFonts w:eastAsiaTheme="minorEastAsia"/>
              <w:noProof/>
              <w:kern w:val="2"/>
              <w:sz w:val="24"/>
              <w:szCs w:val="24"/>
              <w:lang w:val="es-MX" w:eastAsia="es-MX"/>
              <w14:ligatures w14:val="standardContextual"/>
            </w:rPr>
          </w:pPr>
          <w:hyperlink w:anchor="_Toc227270263" w:history="1">
            <w:r w:rsidRPr="00826D67">
              <w:rPr>
                <w:rStyle w:val="Hipervnculo"/>
                <w:noProof/>
              </w:rPr>
              <w:t>Relación entre Educación y Desarrollo Sostenible</w:t>
            </w:r>
            <w:r>
              <w:rPr>
                <w:noProof/>
                <w:webHidden/>
              </w:rPr>
              <w:tab/>
            </w:r>
            <w:r>
              <w:rPr>
                <w:noProof/>
                <w:webHidden/>
              </w:rPr>
              <w:fldChar w:fldCharType="begin"/>
            </w:r>
            <w:r>
              <w:rPr>
                <w:noProof/>
                <w:webHidden/>
              </w:rPr>
              <w:instrText xml:space="preserve"> PAGEREF _Toc227270263 \h </w:instrText>
            </w:r>
            <w:r>
              <w:rPr>
                <w:noProof/>
                <w:webHidden/>
              </w:rPr>
            </w:r>
            <w:r>
              <w:rPr>
                <w:noProof/>
                <w:webHidden/>
              </w:rPr>
              <w:fldChar w:fldCharType="separate"/>
            </w:r>
            <w:r>
              <w:rPr>
                <w:noProof/>
                <w:webHidden/>
              </w:rPr>
              <w:t>5</w:t>
            </w:r>
            <w:r>
              <w:rPr>
                <w:noProof/>
                <w:webHidden/>
              </w:rPr>
              <w:fldChar w:fldCharType="end"/>
            </w:r>
          </w:hyperlink>
        </w:p>
        <w:p w14:paraId="29C825F3" w14:textId="5603EB59" w:rsidR="00043461" w:rsidRDefault="00043461">
          <w:pPr>
            <w:pStyle w:val="TDC1"/>
            <w:rPr>
              <w:rFonts w:eastAsiaTheme="minorEastAsia"/>
              <w:b w:val="0"/>
              <w:bCs w:val="0"/>
              <w:kern w:val="2"/>
              <w:sz w:val="24"/>
              <w:szCs w:val="24"/>
              <w:lang w:val="es-MX" w:eastAsia="es-MX"/>
              <w14:ligatures w14:val="standardContextual"/>
            </w:rPr>
          </w:pPr>
          <w:hyperlink w:anchor="_Toc227270264" w:history="1">
            <w:r w:rsidRPr="00826D67">
              <w:rPr>
                <w:rStyle w:val="Hipervnculo"/>
                <w:rFonts w:cs="Times New Roman"/>
              </w:rPr>
              <w:t>CONCLUSIONES</w:t>
            </w:r>
            <w:r>
              <w:rPr>
                <w:webHidden/>
              </w:rPr>
              <w:tab/>
            </w:r>
            <w:r>
              <w:rPr>
                <w:webHidden/>
              </w:rPr>
              <w:fldChar w:fldCharType="begin"/>
            </w:r>
            <w:r>
              <w:rPr>
                <w:webHidden/>
              </w:rPr>
              <w:instrText xml:space="preserve"> PAGEREF _Toc227270264 \h </w:instrText>
            </w:r>
            <w:r>
              <w:rPr>
                <w:webHidden/>
              </w:rPr>
            </w:r>
            <w:r>
              <w:rPr>
                <w:webHidden/>
              </w:rPr>
              <w:fldChar w:fldCharType="separate"/>
            </w:r>
            <w:r>
              <w:rPr>
                <w:webHidden/>
              </w:rPr>
              <w:t>6</w:t>
            </w:r>
            <w:r>
              <w:rPr>
                <w:webHidden/>
              </w:rPr>
              <w:fldChar w:fldCharType="end"/>
            </w:r>
          </w:hyperlink>
        </w:p>
        <w:p w14:paraId="7E64A860" w14:textId="1840E88F" w:rsidR="00043461" w:rsidRDefault="00043461">
          <w:pPr>
            <w:pStyle w:val="TDC1"/>
            <w:rPr>
              <w:rFonts w:eastAsiaTheme="minorEastAsia"/>
              <w:b w:val="0"/>
              <w:bCs w:val="0"/>
              <w:kern w:val="2"/>
              <w:sz w:val="24"/>
              <w:szCs w:val="24"/>
              <w:lang w:val="es-MX" w:eastAsia="es-MX"/>
              <w14:ligatures w14:val="standardContextual"/>
            </w:rPr>
          </w:pPr>
          <w:hyperlink w:anchor="_Toc227270265" w:history="1">
            <w:r w:rsidRPr="00826D67">
              <w:rPr>
                <w:rStyle w:val="Hipervnculo"/>
                <w:rFonts w:cs="Times New Roman"/>
                <w:lang w:val="es-MX"/>
              </w:rPr>
              <w:t>BIBLIOGRAFÍA</w:t>
            </w:r>
            <w:r>
              <w:rPr>
                <w:webHidden/>
              </w:rPr>
              <w:tab/>
            </w:r>
            <w:r>
              <w:rPr>
                <w:webHidden/>
              </w:rPr>
              <w:fldChar w:fldCharType="begin"/>
            </w:r>
            <w:r>
              <w:rPr>
                <w:webHidden/>
              </w:rPr>
              <w:instrText xml:space="preserve"> PAGEREF _Toc227270265 \h </w:instrText>
            </w:r>
            <w:r>
              <w:rPr>
                <w:webHidden/>
              </w:rPr>
            </w:r>
            <w:r>
              <w:rPr>
                <w:webHidden/>
              </w:rPr>
              <w:fldChar w:fldCharType="separate"/>
            </w:r>
            <w:r>
              <w:rPr>
                <w:webHidden/>
              </w:rPr>
              <w:t>7</w:t>
            </w:r>
            <w:r>
              <w:rPr>
                <w:webHidden/>
              </w:rPr>
              <w:fldChar w:fldCharType="end"/>
            </w:r>
          </w:hyperlink>
        </w:p>
        <w:p w14:paraId="6CDC2655" w14:textId="769C678D"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15B63272" w14:textId="2816FA83" w:rsidR="00002EC8" w:rsidRPr="00D40A0F" w:rsidRDefault="00002EC8" w:rsidP="00002EC8">
      <w:pPr>
        <w:rPr>
          <w:rFonts w:ascii="Times New Roman" w:hAnsi="Times New Roman" w:cs="Times New Roman"/>
          <w:sz w:val="24"/>
          <w:szCs w:val="24"/>
          <w:lang w:val="es-VE"/>
        </w:rPr>
      </w:pPr>
    </w:p>
    <w:p w14:paraId="2D98FA43" w14:textId="58F958BA"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15D52E27" w14:textId="77777777" w:rsidR="00D4683A" w:rsidRDefault="00D4683A" w:rsidP="00D4683A">
      <w:pPr>
        <w:pStyle w:val="Ttulo1"/>
        <w:rPr>
          <w:rFonts w:cs="Times New Roman"/>
          <w:szCs w:val="24"/>
          <w:lang w:val="es-MX"/>
        </w:rPr>
      </w:pPr>
      <w:bookmarkStart w:id="0" w:name="_Toc227270259"/>
      <w:r w:rsidRPr="00F728C8">
        <w:rPr>
          <w:rFonts w:cs="Times New Roman"/>
          <w:szCs w:val="24"/>
          <w:lang w:val="es-MX"/>
        </w:rPr>
        <w:lastRenderedPageBreak/>
        <w:t>INTRODUCCIÓN</w:t>
      </w:r>
      <w:bookmarkEnd w:id="0"/>
    </w:p>
    <w:p w14:paraId="2CAC97AC"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En el siglo XXI, la humanidad se enfrenta a uno de los desafíos más complejos y apremiantes de su historia: la crisis ambiental global. El modelo de desarrollo industrial y de consumo desenfrenado ha llevado a los ecosistemas del planeta al límite de su capacidad de regeneración, manifestándose en fenómenos como el cambio climático, la pérdida acelerada de biodiversidad y la degradación de los recursos hídricos. Ante este escenario, la protección ambiental ha dejado de ser una opción ética para convertirse en una necesidad de supervivencia.</w:t>
      </w:r>
    </w:p>
    <w:p w14:paraId="744378FF"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Tradicionalmente, las estrategias de protección ambiental se han centrado en la implementación de marcos jurídicos, sanciones económicas y soluciones tecnológicas. Si bien estas medidas son necesarias, la historia reciente ha demostrado que son insuficientes por sí solas si no van acompañadas de un cambio profundo en la mentalidad de los ciudadanos. Es aquí donde la educación ambiental emerge no solo como un complemento, sino como la herramienta principal y más efectiva para garantizar la sostenibilidad a largo plazo.</w:t>
      </w:r>
    </w:p>
    <w:p w14:paraId="5B85D4D5"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El presente informe tiene como objetivo analizar el apartado 3.1.2 sobre la Protección Ambiental, enfocándose específicamente en la educación como el motor de transformación social. Se parte de la premisa de que la protección del entorno no se logra únicamente prohibiendo acciones negativas, sino cultivando una nueva conciencia que valore la interdependencia entre el bienestar humano y la salud del ecosistema.</w:t>
      </w:r>
    </w:p>
    <w:p w14:paraId="461A4068" w14:textId="77777777" w:rsid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 xml:space="preserve">A lo largo de este documento, se explorará cómo la educación permite transitar de una "cultura del descarte" hacia una "cultura de la responsabilidad". Se analizará su rol en la formación de valores, su capacidad para democratizar el conocimiento científico y su importancia en la creación de políticas públicas que sean respetadas y adoptadas por la sociedad civil de manera voluntaria y consciente. En última instancia, se argumentará que la </w:t>
      </w:r>
      <w:r w:rsidRPr="00D70C6F">
        <w:rPr>
          <w:rFonts w:ascii="Times New Roman" w:hAnsi="Times New Roman" w:cs="Times New Roman"/>
          <w:sz w:val="24"/>
          <w:szCs w:val="24"/>
          <w:lang w:val="es-MX"/>
        </w:rPr>
        <w:lastRenderedPageBreak/>
        <w:t>inversión en educación es la inversión más rentable para la protección del patrimonio natural de las futuras generaciones.</w:t>
      </w:r>
    </w:p>
    <w:p w14:paraId="0D14599E" w14:textId="77777777" w:rsidR="00D70C6F" w:rsidRDefault="00D70C6F" w:rsidP="00D70C6F">
      <w:pPr>
        <w:pStyle w:val="Ttulo2"/>
      </w:pPr>
      <w:bookmarkStart w:id="1" w:name="_Toc227270260"/>
      <w:proofErr w:type="spellStart"/>
      <w:r w:rsidRPr="00D70C6F">
        <w:t>Protección</w:t>
      </w:r>
      <w:proofErr w:type="spellEnd"/>
      <w:r w:rsidRPr="00D70C6F">
        <w:t xml:space="preserve"> Ambiental: La </w:t>
      </w:r>
      <w:proofErr w:type="spellStart"/>
      <w:r w:rsidRPr="00D70C6F">
        <w:t>Educación</w:t>
      </w:r>
      <w:proofErr w:type="spellEnd"/>
      <w:r w:rsidRPr="00D70C6F">
        <w:t xml:space="preserve"> </w:t>
      </w:r>
      <w:proofErr w:type="spellStart"/>
      <w:r w:rsidRPr="00D70C6F">
        <w:t>como</w:t>
      </w:r>
      <w:proofErr w:type="spellEnd"/>
      <w:r w:rsidRPr="00D70C6F">
        <w:t xml:space="preserve"> </w:t>
      </w:r>
      <w:proofErr w:type="spellStart"/>
      <w:r w:rsidRPr="00D70C6F">
        <w:t>Herramienta</w:t>
      </w:r>
      <w:proofErr w:type="spellEnd"/>
      <w:r w:rsidRPr="00D70C6F">
        <w:t xml:space="preserve"> Principal</w:t>
      </w:r>
      <w:bookmarkEnd w:id="1"/>
    </w:p>
    <w:p w14:paraId="1F9B79AF" w14:textId="77777777" w:rsidR="00D70C6F" w:rsidRPr="00043461" w:rsidRDefault="00D70C6F"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La protección ambiental ha sido interpretada, históricamente, bajo un enfoque "reactivo". Durante décadas, los Estados y las organizaciones internacionales centraron sus esfuerzos en la creación de leyes de comando y control, el establecimiento de multas por contaminación y la creación de áreas protegidas mediante la exclusión humana. Sin embargo, la persistencia de la crisis ecológica global sugiere que la normativa legal, aunque indispensable, es insuficiente si no existe una base social que comprenda, acepte y promueva dichas normas. Es en este vacío de conciencia donde la Educación Ambiental (EA) se erige como el eje transversal y la herramienta más potente de la que dispone la sociedad contemporánea.</w:t>
      </w:r>
    </w:p>
    <w:p w14:paraId="3F94B4A7" w14:textId="77777777" w:rsidR="00D70C6F" w:rsidRPr="00043461" w:rsidRDefault="00D70C6F"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 xml:space="preserve">Entender la protección ambiental como un cambio de paradigma cultural implica reconocer que la crisis ambiental no es un problema de la naturaleza, sino un problema de la cultura y de la forma en que los seres humanos nos relacionamos con nuestro entorno. La educación, por tanto, no debe limitarse a la simple transmisión de datos biológicos o geográficos; debe ser un proceso dinámico y participativo que busque reconstruir el sistema de valores del individuo. Se trata de pasar de una visión antropocéntrica, donde la naturaleza es solo una bodega de recursos infinitos, a una visión </w:t>
      </w:r>
      <w:proofErr w:type="spellStart"/>
      <w:r w:rsidRPr="00043461">
        <w:rPr>
          <w:rFonts w:ascii="Times New Roman" w:hAnsi="Times New Roman" w:cs="Times New Roman"/>
          <w:sz w:val="24"/>
          <w:szCs w:val="24"/>
          <w:lang w:val="es-MX"/>
        </w:rPr>
        <w:t>biocéntrica</w:t>
      </w:r>
      <w:proofErr w:type="spellEnd"/>
      <w:r w:rsidRPr="00043461">
        <w:rPr>
          <w:rFonts w:ascii="Times New Roman" w:hAnsi="Times New Roman" w:cs="Times New Roman"/>
          <w:sz w:val="24"/>
          <w:szCs w:val="24"/>
          <w:lang w:val="es-MX"/>
        </w:rPr>
        <w:t xml:space="preserve"> o sistémica, donde el ser humano se reconoce como una parte integrante y dependiente del equilibrio ecológico.</w:t>
      </w:r>
    </w:p>
    <w:p w14:paraId="43B2AF31" w14:textId="21FB450C" w:rsidR="00D70C6F" w:rsidRPr="00043461" w:rsidRDefault="00D70C6F"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En este sentido, la educación ambiental actúa como el motor del desarrollo sostenible porque ataca la raíz del problema: el desconocimiento y la indiferencia. Un ciudadano educado ambientalmente no recicla porque una ley se lo exija, sino porque comprende el ciclo de vida de los materiales y el impacto de los desechos en la salud pública y los ecosistemas. Esta transformación interna es mucho más poderosa y permanente que cualquier sanción económica. La educación dota a las personas de las capacidades necesarias para evaluar las consecuencias de sus decisiones de consumo, de transporte y de gestión de recursos, convirtiendo la sostenibilidad en un estilo de vida y no en una imposición externa.</w:t>
      </w:r>
    </w:p>
    <w:p w14:paraId="38F7B774" w14:textId="77777777" w:rsidR="00D70C6F" w:rsidRPr="00043461" w:rsidRDefault="00D70C6F"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lastRenderedPageBreak/>
        <w:t xml:space="preserve">Además, la educación como herramienta de protección ambiental fomenta el pensamiento crítico. Permite que la sociedad civil pueda discernir entre prácticas empresariales genuinamente sustentables y estrategias de "lavado de imagen" o </w:t>
      </w:r>
      <w:proofErr w:type="spellStart"/>
      <w:r w:rsidRPr="00043461">
        <w:rPr>
          <w:rFonts w:ascii="Times New Roman" w:hAnsi="Times New Roman" w:cs="Times New Roman"/>
          <w:i/>
          <w:iCs/>
          <w:sz w:val="24"/>
          <w:szCs w:val="24"/>
          <w:lang w:val="es-MX"/>
        </w:rPr>
        <w:t>greenwashing</w:t>
      </w:r>
      <w:proofErr w:type="spellEnd"/>
      <w:r w:rsidRPr="00043461">
        <w:rPr>
          <w:rFonts w:ascii="Times New Roman" w:hAnsi="Times New Roman" w:cs="Times New Roman"/>
          <w:sz w:val="24"/>
          <w:szCs w:val="24"/>
          <w:lang w:val="es-MX"/>
        </w:rPr>
        <w:t>. Al empoderar a las comunidades con conocimiento científico y conciencia ética, se genera una base social capaz de participar activamente en la toma de decisiones ambientales, garantizando que el desarrollo económico no se logre a costa de la degradación del capital natural. Por lo tanto, la educación ambiental es la inversión más estratégica para asegurar que la protección de la naturaleza sea un compromiso colectivo, sólido y proyectado hacia el futuro.</w:t>
      </w:r>
    </w:p>
    <w:p w14:paraId="66C9E5EB" w14:textId="7DA1015F" w:rsidR="00D4683A" w:rsidRDefault="00D70C6F" w:rsidP="00D70C6F">
      <w:pPr>
        <w:pStyle w:val="Ttulo2"/>
      </w:pPr>
      <w:bookmarkStart w:id="2" w:name="_Toc227270261"/>
      <w:r w:rsidRPr="00D70C6F">
        <w:t xml:space="preserve">El Rol de la </w:t>
      </w:r>
      <w:proofErr w:type="spellStart"/>
      <w:r w:rsidRPr="00D70C6F">
        <w:t>Educación</w:t>
      </w:r>
      <w:proofErr w:type="spellEnd"/>
      <w:r w:rsidRPr="00D70C6F">
        <w:t xml:space="preserve"> </w:t>
      </w:r>
      <w:proofErr w:type="spellStart"/>
      <w:r w:rsidRPr="00D70C6F">
        <w:t>en</w:t>
      </w:r>
      <w:proofErr w:type="spellEnd"/>
      <w:r w:rsidRPr="00D70C6F">
        <w:t xml:space="preserve"> la </w:t>
      </w:r>
      <w:proofErr w:type="spellStart"/>
      <w:r w:rsidRPr="00D70C6F">
        <w:t>Conciencia</w:t>
      </w:r>
      <w:proofErr w:type="spellEnd"/>
      <w:r w:rsidRPr="00D70C6F">
        <w:t xml:space="preserve"> </w:t>
      </w:r>
      <w:proofErr w:type="spellStart"/>
      <w:r w:rsidRPr="00D70C6F">
        <w:t>Ciudadana</w:t>
      </w:r>
      <w:bookmarkEnd w:id="2"/>
      <w:proofErr w:type="spellEnd"/>
    </w:p>
    <w:p w14:paraId="3A1AA1DE"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La base de cualquier esfuerzo de protección ambiental reside en la conciencia individual. Sin embargo, la conciencia no es un estado espontáneo, sino un proceso que se construye a través de la formación continua. El rol de la educación en este ámbito es fundamentalmente transformador, ya que busca romper con la inercia de la indiferencia social frente a la degradación de la biosfera. Este proceso se divide en dos grandes pilares que permiten al ciudadano común convertirse en un agente de cambio:</w:t>
      </w:r>
    </w:p>
    <w:p w14:paraId="2AC08769"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1. La Sensibilización y el Conocimiento Crítico: La educación ambiental tiene como primera misión la sensibilización, que va mucho más allá de la simple entrega de información. Si bien es importante que el ciudadano conozca datos sobre el calentamiento global o la contaminación por plásticos, el verdadero rol educativo consiste en lograr que el individuo comprenda la finitud de los recursos naturales.</w:t>
      </w:r>
    </w:p>
    <w:p w14:paraId="37177EBE"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A través de la educación, se internaliza la idea de que los servicios ecosistémicos (como el agua potable, el aire limpio y el suelo fértil) no son infinitos ni gratuitos. La sensibilización permite que la persona desarrolle una "empatía ecológica", reconociendo que sus acciones locales tienen repercusiones globales. Al comprender la interconexión de los sistemas vivos, el ciudadano deja de ver la protección ambiental como una carga o un sacrificio, y comienza a verla como un acto de autoconservación y responsabilidad ética hacia las generaciones venideras.</w:t>
      </w:r>
    </w:p>
    <w:p w14:paraId="1B661053"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lastRenderedPageBreak/>
        <w:t>2. El Cambio de Comportamiento y la Adopción de Nuevos Hábitos: El fin último de la educación en la conciencia ciudadana es la transición de la teoría a la práctica. Una conciencia bien formada se traduce inevitablemente en una modificación de los patrones de conducta cotidianos. Aquí es donde la educación ambiental impulsa la adopción de la jerarquía de las 3R (Reducir, Reutilizar y Reciclar), pero con un enfoque crítico:</w:t>
      </w:r>
    </w:p>
    <w:p w14:paraId="358CF6B3" w14:textId="77777777" w:rsidR="00D70C6F" w:rsidRPr="00D70C6F" w:rsidRDefault="00D70C6F" w:rsidP="00D70C6F">
      <w:pPr>
        <w:numPr>
          <w:ilvl w:val="0"/>
          <w:numId w:val="18"/>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Reducción Consciente: La educación enseña a diferenciar entre necesidades reales y deseos impulsados por el marketing, atacando el problema del sobreconsumo desde su origen.</w:t>
      </w:r>
    </w:p>
    <w:p w14:paraId="7BE113DB" w14:textId="77777777" w:rsidR="00D70C6F" w:rsidRPr="00D70C6F" w:rsidRDefault="00D70C6F" w:rsidP="00D70C6F">
      <w:pPr>
        <w:numPr>
          <w:ilvl w:val="0"/>
          <w:numId w:val="18"/>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Reutilización y Reparación: Fomenta la valoración de los objetos y la lucha contra la "obsolescencia programada", promoviendo una economía más circular en el hogar.</w:t>
      </w:r>
    </w:p>
    <w:p w14:paraId="04C3A8CE" w14:textId="77777777" w:rsidR="00D70C6F" w:rsidRPr="00D70C6F" w:rsidRDefault="00D70C6F" w:rsidP="00D70C6F">
      <w:pPr>
        <w:numPr>
          <w:ilvl w:val="0"/>
          <w:numId w:val="18"/>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Reciclaje Responsable: Instruye sobre la correcta separación de residuos, entendiendo que el desecho de uno es la materia prima de otro proceso.</w:t>
      </w:r>
    </w:p>
    <w:p w14:paraId="4014BFEF" w14:textId="1CAE0E28" w:rsidR="00D70C6F" w:rsidRDefault="00D70C6F" w:rsidP="00D70C6F">
      <w:pPr>
        <w:pStyle w:val="Ttulo2"/>
      </w:pPr>
      <w:bookmarkStart w:id="3" w:name="_Toc227270262"/>
      <w:r>
        <w:t xml:space="preserve">La Educación Ambiental </w:t>
      </w:r>
      <w:proofErr w:type="spellStart"/>
      <w:r>
        <w:t>como</w:t>
      </w:r>
      <w:proofErr w:type="spellEnd"/>
      <w:r>
        <w:t xml:space="preserve"> Política de Estado</w:t>
      </w:r>
      <w:bookmarkEnd w:id="3"/>
    </w:p>
    <w:p w14:paraId="46CA8932"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Para que la protección ambiental sea efectiva, no puede depender solo de iniciativas aisladas; debe integrarse como una política pública transversal. Esto significa que el Estado debe garantizar que el conocimiento ecológico llegue a todos los sectores de la sociedad a través de tres pilares:</w:t>
      </w:r>
    </w:p>
    <w:p w14:paraId="62FE2458" w14:textId="77777777" w:rsidR="00D70C6F" w:rsidRPr="00D70C6F" w:rsidRDefault="00D70C6F" w:rsidP="00D70C6F">
      <w:pPr>
        <w:numPr>
          <w:ilvl w:val="0"/>
          <w:numId w:val="19"/>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Educación Formal: Es la que se imparte en escuelas y universidades. Consiste en incluir el eje ambiental en todas las asignaturas (biología, ética, economía) para que los futuros profesionales tomen decisiones con criterios de sostenibilidad.</w:t>
      </w:r>
    </w:p>
    <w:p w14:paraId="4AC5345C" w14:textId="77777777" w:rsidR="00D70C6F" w:rsidRPr="00D70C6F" w:rsidRDefault="00D70C6F" w:rsidP="00D70C6F">
      <w:pPr>
        <w:numPr>
          <w:ilvl w:val="0"/>
          <w:numId w:val="19"/>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Educación No Formal: Se dirige a comunidades, empresas y sectores específicos fuera del sistema escolar. Son talleres y programas de capacitación práctica sobre gestión de residuos, ahorro energético y agricultura urbana.</w:t>
      </w:r>
    </w:p>
    <w:p w14:paraId="0A7698F3" w14:textId="77777777" w:rsidR="00D70C6F" w:rsidRPr="00D70C6F" w:rsidRDefault="00D70C6F" w:rsidP="00D70C6F">
      <w:pPr>
        <w:numPr>
          <w:ilvl w:val="0"/>
          <w:numId w:val="19"/>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lastRenderedPageBreak/>
        <w:t>Educación Informal: Se da a través de los medios de comunicación y campañas públicas. Su objetivo es masificar mensajes de urgencia climática y buenas prácticas para influir en la opinión pública y en el comportamiento de las masas.</w:t>
      </w:r>
    </w:p>
    <w:p w14:paraId="322DF944" w14:textId="2CC55AEA"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Cuando la educación ambiental se convierte en política de Estado, deja de ser un "extra" para convertirse en la base sobre la cual se construye el derecho a un ambiente sano.</w:t>
      </w:r>
    </w:p>
    <w:p w14:paraId="32B38D0F" w14:textId="75727771" w:rsidR="00D70C6F" w:rsidRDefault="00D70C6F" w:rsidP="00D70C6F">
      <w:pPr>
        <w:pStyle w:val="Ttulo2"/>
      </w:pPr>
      <w:bookmarkStart w:id="4" w:name="_Toc227270263"/>
      <w:proofErr w:type="spellStart"/>
      <w:r w:rsidRPr="00D70C6F">
        <w:t>Relación</w:t>
      </w:r>
      <w:proofErr w:type="spellEnd"/>
      <w:r w:rsidRPr="00D70C6F">
        <w:t xml:space="preserve"> entre </w:t>
      </w:r>
      <w:proofErr w:type="spellStart"/>
      <w:r w:rsidRPr="00D70C6F">
        <w:t>Educación</w:t>
      </w:r>
      <w:proofErr w:type="spellEnd"/>
      <w:r w:rsidRPr="00D70C6F">
        <w:t xml:space="preserve"> y Desarrollo </w:t>
      </w:r>
      <w:proofErr w:type="spellStart"/>
      <w:r w:rsidRPr="00D70C6F">
        <w:t>Sostenible</w:t>
      </w:r>
      <w:bookmarkEnd w:id="4"/>
      <w:proofErr w:type="spellEnd"/>
    </w:p>
    <w:p w14:paraId="0CECD1AF"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La educación es el puente que conecta la protección del entorno con el crecimiento económico. Sin una sociedad educada, los avances tecnológicos y las leyes ambientales pierden su eficacia. Esta relación se manifiesta en tres ejes fundamentales:</w:t>
      </w:r>
    </w:p>
    <w:p w14:paraId="7434DA46" w14:textId="77777777" w:rsidR="00D70C6F" w:rsidRPr="00D70C6F" w:rsidRDefault="00D70C6F" w:rsidP="00D70C6F">
      <w:pPr>
        <w:numPr>
          <w:ilvl w:val="0"/>
          <w:numId w:val="20"/>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Comprensión de la Biodiversidad: La educación permite que los sectores productivos vean la naturaleza no como un obstáculo para el progreso, sino como un activo invaluable. Al entender el valor de los servicios ecosistémicos, se promueven actividades como el ecoturismo y el manejo forestal responsable.</w:t>
      </w:r>
    </w:p>
    <w:p w14:paraId="2AA69602" w14:textId="77777777" w:rsidR="00D70C6F" w:rsidRPr="00D70C6F" w:rsidRDefault="00D70C6F" w:rsidP="00D70C6F">
      <w:pPr>
        <w:numPr>
          <w:ilvl w:val="0"/>
          <w:numId w:val="20"/>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Adopción de Tecnologías Limpias: La transición hacia energías renovables (solar, eólica) requiere de profesionales capacitados y de una población dispuesta a adoptar nuevas formas de consumo energético. La educación facilita la aceptación social de estas innovaciones.</w:t>
      </w:r>
    </w:p>
    <w:p w14:paraId="53D597D4" w14:textId="77777777" w:rsidR="00D70C6F" w:rsidRPr="00D70C6F" w:rsidRDefault="00D70C6F" w:rsidP="00D70C6F">
      <w:pPr>
        <w:numPr>
          <w:ilvl w:val="0"/>
          <w:numId w:val="20"/>
        </w:num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Exigencia y Consumo Responsable: Una sociedad informada presiona a las industrias para que adopten procesos de producción más limpios. El desarrollo sostenible se acelera cuando el consumidor elige productos por su bajo impacto ambiental, obligando al mercado a transformarse.</w:t>
      </w:r>
    </w:p>
    <w:p w14:paraId="442E7655" w14:textId="77777777" w:rsidR="00D70C6F" w:rsidRPr="00D70C6F" w:rsidRDefault="00D70C6F" w:rsidP="00D70C6F">
      <w:pPr>
        <w:spacing w:line="360" w:lineRule="auto"/>
        <w:jc w:val="both"/>
        <w:rPr>
          <w:rFonts w:ascii="Times New Roman" w:hAnsi="Times New Roman" w:cs="Times New Roman"/>
          <w:sz w:val="24"/>
          <w:szCs w:val="24"/>
          <w:lang w:val="es-MX"/>
        </w:rPr>
      </w:pPr>
      <w:r w:rsidRPr="00D70C6F">
        <w:rPr>
          <w:rFonts w:ascii="Times New Roman" w:hAnsi="Times New Roman" w:cs="Times New Roman"/>
          <w:sz w:val="24"/>
          <w:szCs w:val="24"/>
          <w:lang w:val="es-MX"/>
        </w:rPr>
        <w:t>En definitiva, la educación garantiza que el desarrollo actual no comprometa la capacidad de las futuras generaciones para satisfacer sus propias necesidades.</w:t>
      </w:r>
    </w:p>
    <w:p w14:paraId="17D93C7D" w14:textId="77777777" w:rsidR="00D4683A" w:rsidRPr="00F728C8" w:rsidRDefault="00D4683A" w:rsidP="00043461">
      <w:pPr>
        <w:spacing w:line="360" w:lineRule="auto"/>
        <w:rPr>
          <w:rFonts w:ascii="Times New Roman" w:hAnsi="Times New Roman" w:cs="Times New Roman"/>
          <w:b/>
          <w:bCs/>
          <w:sz w:val="24"/>
          <w:szCs w:val="24"/>
        </w:rPr>
      </w:pPr>
    </w:p>
    <w:p w14:paraId="409E0841" w14:textId="4520D6B2" w:rsidR="00D4683A" w:rsidRPr="00F728C8" w:rsidRDefault="00D4683A" w:rsidP="00043461">
      <w:pPr>
        <w:pStyle w:val="Ttulo1"/>
        <w:spacing w:line="360" w:lineRule="auto"/>
        <w:rPr>
          <w:rFonts w:cs="Times New Roman"/>
          <w:szCs w:val="24"/>
          <w:lang w:val="es-MX"/>
        </w:rPr>
      </w:pPr>
      <w:bookmarkStart w:id="5" w:name="_Toc227270264"/>
      <w:r w:rsidRPr="00F728C8">
        <w:rPr>
          <w:rFonts w:cs="Times New Roman"/>
          <w:szCs w:val="24"/>
        </w:rPr>
        <w:lastRenderedPageBreak/>
        <w:t>CONCLUSIONES</w:t>
      </w:r>
      <w:bookmarkEnd w:id="5"/>
    </w:p>
    <w:p w14:paraId="70DEDB23" w14:textId="77777777" w:rsidR="00043461" w:rsidRPr="00043461" w:rsidRDefault="00043461" w:rsidP="00043461">
      <w:pPr>
        <w:spacing w:line="360" w:lineRule="auto"/>
        <w:ind w:firstLine="720"/>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La protección ambiental ha dejado de ser una preocupación periférica para convertirse en el eje central de la agenda global. A lo largo de este informe, se ha demostrado que, si bien las regulaciones legales y las innovaciones técnicas son herramientas necesarias, su éxito depende en última instancia de la base cultural sobre la que se aplican. La educación ambiental no es simplemente un proceso de instrucción escolar; es la estrategia más robusta para garantizar que la humanidad pueda coexistir de manera armónica con los sistemas naturales.</w:t>
      </w:r>
    </w:p>
    <w:p w14:paraId="3089B15F" w14:textId="77777777" w:rsidR="00043461" w:rsidRPr="00043461" w:rsidRDefault="00043461" w:rsidP="00043461">
      <w:pPr>
        <w:spacing w:line="360" w:lineRule="auto"/>
        <w:ind w:firstLine="720"/>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En conclusión, el apartado 3.1.2 resalta que la educación es la herramienta principal porque actúa sobre la raíz del problema: la conducta humana. Al fomentar la sensibilización, integrar políticas de Estado transversales y alinear la educación con el desarrollo sostenible, se logra empoderar al ciudadano para que tome decisiones responsables. Solo a través del conocimiento y la ética ambiental será posible realizar la transición hacia un modelo económico que respete los límites del planeta, asegurando así el bienestar de las generaciones presentes y futuras.</w:t>
      </w:r>
    </w:p>
    <w:p w14:paraId="65033B58" w14:textId="77777777" w:rsidR="00D4683A" w:rsidRPr="00F728C8" w:rsidRDefault="00D4683A" w:rsidP="00043461">
      <w:pPr>
        <w:spacing w:line="360" w:lineRule="auto"/>
        <w:jc w:val="both"/>
        <w:rPr>
          <w:rFonts w:ascii="Times New Roman" w:hAnsi="Times New Roman" w:cs="Times New Roman"/>
          <w:sz w:val="24"/>
          <w:szCs w:val="24"/>
        </w:rPr>
      </w:pPr>
    </w:p>
    <w:p w14:paraId="14D61C59" w14:textId="77777777" w:rsidR="00043461" w:rsidRDefault="00043461" w:rsidP="00043461">
      <w:pPr>
        <w:pStyle w:val="Ttulo1"/>
        <w:spacing w:line="360" w:lineRule="auto"/>
        <w:rPr>
          <w:rFonts w:cs="Times New Roman"/>
          <w:szCs w:val="24"/>
          <w:lang w:val="es-MX"/>
        </w:rPr>
      </w:pPr>
    </w:p>
    <w:p w14:paraId="079BA42E" w14:textId="77777777" w:rsidR="00043461" w:rsidRDefault="00043461" w:rsidP="00043461">
      <w:pPr>
        <w:pStyle w:val="Ttulo1"/>
        <w:spacing w:line="360" w:lineRule="auto"/>
        <w:rPr>
          <w:rFonts w:cs="Times New Roman"/>
          <w:szCs w:val="24"/>
          <w:lang w:val="es-MX"/>
        </w:rPr>
      </w:pPr>
    </w:p>
    <w:p w14:paraId="16E780AA" w14:textId="77777777" w:rsidR="00043461" w:rsidRDefault="00043461" w:rsidP="00043461">
      <w:pPr>
        <w:spacing w:line="360" w:lineRule="auto"/>
        <w:rPr>
          <w:lang w:val="es-MX"/>
        </w:rPr>
      </w:pPr>
    </w:p>
    <w:p w14:paraId="098395D9" w14:textId="77777777" w:rsidR="00043461" w:rsidRPr="00043461" w:rsidRDefault="00043461" w:rsidP="00043461">
      <w:pPr>
        <w:spacing w:line="360" w:lineRule="auto"/>
        <w:rPr>
          <w:lang w:val="es-MX"/>
        </w:rPr>
      </w:pPr>
    </w:p>
    <w:p w14:paraId="48089308" w14:textId="33CE2CDB" w:rsidR="00D4683A" w:rsidRPr="00F728C8" w:rsidRDefault="00D4683A" w:rsidP="00043461">
      <w:pPr>
        <w:pStyle w:val="Ttulo1"/>
        <w:spacing w:line="360" w:lineRule="auto"/>
        <w:rPr>
          <w:rFonts w:cs="Times New Roman"/>
          <w:szCs w:val="24"/>
          <w:lang w:val="es-MX"/>
        </w:rPr>
      </w:pPr>
      <w:bookmarkStart w:id="6" w:name="_Toc227270265"/>
      <w:r w:rsidRPr="00F728C8">
        <w:rPr>
          <w:rFonts w:cs="Times New Roman"/>
          <w:szCs w:val="24"/>
          <w:lang w:val="es-MX"/>
        </w:rPr>
        <w:lastRenderedPageBreak/>
        <w:t>BIBLIOGRAFÍA</w:t>
      </w:r>
      <w:bookmarkEnd w:id="6"/>
    </w:p>
    <w:p w14:paraId="0BFD819C" w14:textId="77777777" w:rsidR="00D4683A" w:rsidRPr="00043461" w:rsidRDefault="00D4683A" w:rsidP="00043461">
      <w:pPr>
        <w:spacing w:line="360" w:lineRule="auto"/>
        <w:jc w:val="center"/>
        <w:rPr>
          <w:rFonts w:ascii="Times New Roman" w:hAnsi="Times New Roman" w:cs="Times New Roman"/>
          <w:sz w:val="24"/>
          <w:szCs w:val="24"/>
          <w:lang w:val="es-MX"/>
        </w:rPr>
      </w:pPr>
    </w:p>
    <w:p w14:paraId="44194F50" w14:textId="22DB9F7E" w:rsidR="00043461" w:rsidRPr="00043461" w:rsidRDefault="00043461"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 xml:space="preserve">UNESCO (2017). </w:t>
      </w:r>
      <w:r w:rsidRPr="00043461">
        <w:rPr>
          <w:rFonts w:ascii="Times New Roman" w:hAnsi="Times New Roman" w:cs="Times New Roman"/>
          <w:i/>
          <w:iCs/>
          <w:sz w:val="24"/>
          <w:szCs w:val="24"/>
          <w:lang w:val="es-MX"/>
        </w:rPr>
        <w:t>Educación para los Objetivos de Desarrollo Sostenible: Objetivos de aprendizaje</w:t>
      </w:r>
      <w:r w:rsidRPr="00043461">
        <w:rPr>
          <w:rFonts w:ascii="Times New Roman" w:hAnsi="Times New Roman" w:cs="Times New Roman"/>
          <w:sz w:val="24"/>
          <w:szCs w:val="24"/>
          <w:lang w:val="es-MX"/>
        </w:rPr>
        <w:t>. París, Francia.</w:t>
      </w:r>
    </w:p>
    <w:p w14:paraId="1A047812" w14:textId="373C926A" w:rsidR="00043461" w:rsidRPr="00043461" w:rsidRDefault="00043461"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 xml:space="preserve">PNUMA (Programa de las Naciones Unidas para el Medio Ambiente). </w:t>
      </w:r>
      <w:r w:rsidRPr="00043461">
        <w:rPr>
          <w:rFonts w:ascii="Times New Roman" w:hAnsi="Times New Roman" w:cs="Times New Roman"/>
          <w:i/>
          <w:iCs/>
          <w:sz w:val="24"/>
          <w:szCs w:val="24"/>
          <w:lang w:val="es-MX"/>
        </w:rPr>
        <w:t>Perspectivas del Medio Ambiente Mundial (GEO-6): Planeta sano, gente sana</w:t>
      </w:r>
      <w:r w:rsidRPr="00043461">
        <w:rPr>
          <w:rFonts w:ascii="Times New Roman" w:hAnsi="Times New Roman" w:cs="Times New Roman"/>
          <w:sz w:val="24"/>
          <w:szCs w:val="24"/>
          <w:lang w:val="es-MX"/>
        </w:rPr>
        <w:t>. (2019).</w:t>
      </w:r>
    </w:p>
    <w:p w14:paraId="387F135F" w14:textId="3A9DB91C" w:rsidR="00043461" w:rsidRPr="00043461" w:rsidRDefault="00043461"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 xml:space="preserve">Novo, M. (2006). </w:t>
      </w:r>
      <w:r w:rsidRPr="00043461">
        <w:rPr>
          <w:rFonts w:ascii="Times New Roman" w:hAnsi="Times New Roman" w:cs="Times New Roman"/>
          <w:i/>
          <w:iCs/>
          <w:sz w:val="24"/>
          <w:szCs w:val="24"/>
          <w:lang w:val="es-MX"/>
        </w:rPr>
        <w:t>La educación ambiental: bases éticas, conceptuales y metodológicas</w:t>
      </w:r>
      <w:r w:rsidRPr="00043461">
        <w:rPr>
          <w:rFonts w:ascii="Times New Roman" w:hAnsi="Times New Roman" w:cs="Times New Roman"/>
          <w:sz w:val="24"/>
          <w:szCs w:val="24"/>
          <w:lang w:val="es-MX"/>
        </w:rPr>
        <w:t xml:space="preserve">. Editorial </w:t>
      </w:r>
      <w:proofErr w:type="spellStart"/>
      <w:r w:rsidRPr="00043461">
        <w:rPr>
          <w:rFonts w:ascii="Times New Roman" w:hAnsi="Times New Roman" w:cs="Times New Roman"/>
          <w:sz w:val="24"/>
          <w:szCs w:val="24"/>
          <w:lang w:val="es-MX"/>
        </w:rPr>
        <w:t>Universitas</w:t>
      </w:r>
      <w:proofErr w:type="spellEnd"/>
      <w:r w:rsidRPr="00043461">
        <w:rPr>
          <w:rFonts w:ascii="Times New Roman" w:hAnsi="Times New Roman" w:cs="Times New Roman"/>
          <w:sz w:val="24"/>
          <w:szCs w:val="24"/>
          <w:lang w:val="es-MX"/>
        </w:rPr>
        <w:t>. Madrid.</w:t>
      </w:r>
    </w:p>
    <w:p w14:paraId="7E16EC43" w14:textId="48BD22FC" w:rsidR="00043461" w:rsidRPr="00043461" w:rsidRDefault="00043461"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 xml:space="preserve">Calixto Flores, R. (2012). </w:t>
      </w:r>
      <w:r w:rsidRPr="00043461">
        <w:rPr>
          <w:rFonts w:ascii="Times New Roman" w:hAnsi="Times New Roman" w:cs="Times New Roman"/>
          <w:i/>
          <w:iCs/>
          <w:sz w:val="24"/>
          <w:szCs w:val="24"/>
          <w:lang w:val="es-MX"/>
        </w:rPr>
        <w:t>Investigación en educación ambiental</w:t>
      </w:r>
      <w:r w:rsidRPr="00043461">
        <w:rPr>
          <w:rFonts w:ascii="Times New Roman" w:hAnsi="Times New Roman" w:cs="Times New Roman"/>
          <w:sz w:val="24"/>
          <w:szCs w:val="24"/>
          <w:lang w:val="es-MX"/>
        </w:rPr>
        <w:t>. Revista Mexicana de Investigación Educativa.</w:t>
      </w:r>
    </w:p>
    <w:p w14:paraId="5072D4DA" w14:textId="75BB0831" w:rsidR="00043461" w:rsidRPr="00043461" w:rsidRDefault="00043461" w:rsidP="00043461">
      <w:pPr>
        <w:spacing w:line="360" w:lineRule="auto"/>
        <w:jc w:val="both"/>
        <w:rPr>
          <w:rFonts w:ascii="Times New Roman" w:hAnsi="Times New Roman" w:cs="Times New Roman"/>
          <w:sz w:val="24"/>
          <w:szCs w:val="24"/>
          <w:lang w:val="es-MX"/>
        </w:rPr>
      </w:pPr>
      <w:r w:rsidRPr="00043461">
        <w:rPr>
          <w:rFonts w:ascii="Times New Roman" w:hAnsi="Times New Roman" w:cs="Times New Roman"/>
          <w:sz w:val="24"/>
          <w:szCs w:val="24"/>
          <w:lang w:val="es-MX"/>
        </w:rPr>
        <w:t xml:space="preserve">Naciones Unidas. </w:t>
      </w:r>
      <w:r w:rsidRPr="00043461">
        <w:rPr>
          <w:rFonts w:ascii="Times New Roman" w:hAnsi="Times New Roman" w:cs="Times New Roman"/>
          <w:i/>
          <w:iCs/>
          <w:sz w:val="24"/>
          <w:szCs w:val="24"/>
          <w:lang w:val="es-MX"/>
        </w:rPr>
        <w:t>Agenda 2030 para el Desarrollo Sostenible</w:t>
      </w:r>
      <w:r w:rsidRPr="00043461">
        <w:rPr>
          <w:rFonts w:ascii="Times New Roman" w:hAnsi="Times New Roman" w:cs="Times New Roman"/>
          <w:sz w:val="24"/>
          <w:szCs w:val="24"/>
          <w:lang w:val="es-MX"/>
        </w:rPr>
        <w:t>. (2015).</w:t>
      </w:r>
    </w:p>
    <w:p w14:paraId="39E93209" w14:textId="77777777" w:rsidR="00D4683A" w:rsidRPr="00F728C8" w:rsidRDefault="00D4683A" w:rsidP="00043461">
      <w:pPr>
        <w:spacing w:line="360" w:lineRule="auto"/>
        <w:jc w:val="both"/>
        <w:rPr>
          <w:rFonts w:ascii="Times New Roman" w:hAnsi="Times New Roman" w:cs="Times New Roman"/>
          <w:sz w:val="24"/>
          <w:szCs w:val="24"/>
          <w:lang w:val="es-MX"/>
        </w:rPr>
      </w:pPr>
    </w:p>
    <w:p w14:paraId="42315517" w14:textId="77777777" w:rsidR="00D4683A" w:rsidRPr="00F728C8" w:rsidRDefault="00D4683A" w:rsidP="00043461">
      <w:pPr>
        <w:spacing w:line="360" w:lineRule="auto"/>
        <w:jc w:val="both"/>
        <w:rPr>
          <w:rFonts w:ascii="Times New Roman" w:hAnsi="Times New Roman" w:cs="Times New Roman"/>
          <w:sz w:val="24"/>
          <w:szCs w:val="24"/>
        </w:rPr>
      </w:pPr>
    </w:p>
    <w:p w14:paraId="59EA7305" w14:textId="77777777" w:rsidR="00593611" w:rsidRPr="00F728C8" w:rsidRDefault="00593611" w:rsidP="00D4683A">
      <w:pPr>
        <w:pStyle w:val="Ttulo1"/>
        <w:rPr>
          <w:rFonts w:cs="Times New Roman"/>
          <w:szCs w:val="24"/>
        </w:rPr>
      </w:pPr>
    </w:p>
    <w:sectPr w:rsidR="00593611" w:rsidRPr="00F728C8" w:rsidSect="00D4683A">
      <w:footerReference w:type="default" r:id="rId9"/>
      <w:pgSz w:w="12240" w:h="15840"/>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263E" w14:textId="77777777" w:rsidR="00443939" w:rsidRDefault="00443939" w:rsidP="004E06D4">
      <w:pPr>
        <w:spacing w:after="0" w:line="240" w:lineRule="auto"/>
      </w:pPr>
      <w:r>
        <w:separator/>
      </w:r>
    </w:p>
  </w:endnote>
  <w:endnote w:type="continuationSeparator" w:id="0">
    <w:p w14:paraId="69BEF3E1" w14:textId="77777777" w:rsidR="00443939" w:rsidRDefault="00443939"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799A3AAE" w14:textId="77777777" w:rsidR="00D4683A" w:rsidRDefault="00D4683A">
        <w:pPr>
          <w:pStyle w:val="Piedepgina"/>
          <w:jc w:val="center"/>
        </w:pPr>
        <w:r>
          <w:fldChar w:fldCharType="begin"/>
        </w:r>
        <w:r>
          <w:instrText>PAGE   \* MERGEFORMAT</w:instrText>
        </w:r>
        <w:r>
          <w:fldChar w:fldCharType="separate"/>
        </w:r>
        <w:r>
          <w:rPr>
            <w:lang w:val="es-ES"/>
          </w:rPr>
          <w:t>2</w:t>
        </w:r>
        <w:r>
          <w:fldChar w:fldCharType="end"/>
        </w:r>
      </w:p>
    </w:sdtContent>
  </w:sdt>
  <w:p w14:paraId="2CCA118F" w14:textId="77777777" w:rsidR="00D4683A" w:rsidRDefault="00D468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A9DA" w14:textId="77777777" w:rsidR="00443939" w:rsidRDefault="00443939" w:rsidP="004E06D4">
      <w:pPr>
        <w:spacing w:after="0" w:line="240" w:lineRule="auto"/>
      </w:pPr>
      <w:r>
        <w:separator/>
      </w:r>
    </w:p>
  </w:footnote>
  <w:footnote w:type="continuationSeparator" w:id="0">
    <w:p w14:paraId="2F3A5960" w14:textId="77777777" w:rsidR="00443939" w:rsidRDefault="00443939"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56D"/>
    <w:multiLevelType w:val="multilevel"/>
    <w:tmpl w:val="DC4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36888"/>
    <w:multiLevelType w:val="multilevel"/>
    <w:tmpl w:val="F3D8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C036482"/>
    <w:multiLevelType w:val="multilevel"/>
    <w:tmpl w:val="4D4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D7F53"/>
    <w:multiLevelType w:val="multilevel"/>
    <w:tmpl w:val="D978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304D0"/>
    <w:multiLevelType w:val="hybridMultilevel"/>
    <w:tmpl w:val="A73C3C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0"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41AD5E0B"/>
    <w:multiLevelType w:val="multilevel"/>
    <w:tmpl w:val="224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4035DDF"/>
    <w:multiLevelType w:val="multilevel"/>
    <w:tmpl w:val="163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8F2878"/>
    <w:multiLevelType w:val="multilevel"/>
    <w:tmpl w:val="6C0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17"/>
  </w:num>
  <w:num w:numId="2" w16cid:durableId="1609041643">
    <w:abstractNumId w:val="18"/>
  </w:num>
  <w:num w:numId="3" w16cid:durableId="363556638">
    <w:abstractNumId w:val="15"/>
  </w:num>
  <w:num w:numId="4" w16cid:durableId="710616113">
    <w:abstractNumId w:val="4"/>
  </w:num>
  <w:num w:numId="5" w16cid:durableId="957301603">
    <w:abstractNumId w:val="12"/>
  </w:num>
  <w:num w:numId="6" w16cid:durableId="1651863276">
    <w:abstractNumId w:val="10"/>
  </w:num>
  <w:num w:numId="7" w16cid:durableId="920060361">
    <w:abstractNumId w:val="8"/>
  </w:num>
  <w:num w:numId="8" w16cid:durableId="326441774">
    <w:abstractNumId w:val="14"/>
  </w:num>
  <w:num w:numId="9" w16cid:durableId="7755475">
    <w:abstractNumId w:val="9"/>
  </w:num>
  <w:num w:numId="10" w16cid:durableId="821505167">
    <w:abstractNumId w:val="2"/>
  </w:num>
  <w:num w:numId="11" w16cid:durableId="857624297">
    <w:abstractNumId w:val="3"/>
  </w:num>
  <w:num w:numId="12" w16cid:durableId="547373092">
    <w:abstractNumId w:val="19"/>
  </w:num>
  <w:num w:numId="13" w16cid:durableId="2133212052">
    <w:abstractNumId w:val="5"/>
  </w:num>
  <w:num w:numId="14" w16cid:durableId="43455271">
    <w:abstractNumId w:val="11"/>
  </w:num>
  <w:num w:numId="15" w16cid:durableId="1951163155">
    <w:abstractNumId w:val="16"/>
  </w:num>
  <w:num w:numId="16" w16cid:durableId="2032753416">
    <w:abstractNumId w:val="1"/>
  </w:num>
  <w:num w:numId="17" w16cid:durableId="1271164946">
    <w:abstractNumId w:val="7"/>
  </w:num>
  <w:num w:numId="18" w16cid:durableId="313879175">
    <w:abstractNumId w:val="13"/>
  </w:num>
  <w:num w:numId="19" w16cid:durableId="1050374014">
    <w:abstractNumId w:val="6"/>
  </w:num>
  <w:num w:numId="20" w16cid:durableId="11934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43461"/>
    <w:rsid w:val="00062808"/>
    <w:rsid w:val="000E18CB"/>
    <w:rsid w:val="00181193"/>
    <w:rsid w:val="001B774B"/>
    <w:rsid w:val="003A6467"/>
    <w:rsid w:val="003D40C2"/>
    <w:rsid w:val="004211A6"/>
    <w:rsid w:val="00443939"/>
    <w:rsid w:val="004E06D4"/>
    <w:rsid w:val="00510A8E"/>
    <w:rsid w:val="00530138"/>
    <w:rsid w:val="00593611"/>
    <w:rsid w:val="00620E18"/>
    <w:rsid w:val="006410ED"/>
    <w:rsid w:val="00726983"/>
    <w:rsid w:val="0087176C"/>
    <w:rsid w:val="008B4BB4"/>
    <w:rsid w:val="008E5A5F"/>
    <w:rsid w:val="00967823"/>
    <w:rsid w:val="00A95DA2"/>
    <w:rsid w:val="00AE44FC"/>
    <w:rsid w:val="00C227D1"/>
    <w:rsid w:val="00D40A0F"/>
    <w:rsid w:val="00D4683A"/>
    <w:rsid w:val="00D541DE"/>
    <w:rsid w:val="00D579EB"/>
    <w:rsid w:val="00D70C6F"/>
    <w:rsid w:val="00F72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70C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character" w:customStyle="1" w:styleId="Ttulo4Car">
    <w:name w:val="Título 4 Car"/>
    <w:basedOn w:val="Fuentedeprrafopredeter"/>
    <w:link w:val="Ttulo4"/>
    <w:uiPriority w:val="9"/>
    <w:semiHidden/>
    <w:rsid w:val="00D70C6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1959</Words>
  <Characters>10779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2026-04-17T02:18:00Z</dcterms:created>
  <dcterms:modified xsi:type="dcterms:W3CDTF">2026-04-17T02:18:00Z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