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78BB06E">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146EA291" w:rsidR="00002EC8" w:rsidRPr="00D40A0F" w:rsidRDefault="00D60A83"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EDUCACIÓN PARA LA SALUD</w:t>
      </w:r>
    </w:p>
    <w:p w14:paraId="7EB6575A" w14:textId="0D833D75"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w:t>
      </w:r>
      <w:r w:rsidR="00AF1DDD" w:rsidRPr="00AF1DDD">
        <w:rPr>
          <w:rFonts w:ascii="Times New Roman" w:eastAsia="Calibri" w:hAnsi="Times New Roman"/>
          <w:b/>
          <w:sz w:val="26"/>
          <w:szCs w:val="26"/>
        </w:rPr>
        <w:t xml:space="preserve"> </w:t>
      </w:r>
      <w:r w:rsidR="00AF1DDD" w:rsidRPr="00AF1DDD">
        <w:rPr>
          <w:rFonts w:ascii="Times New Roman" w:hAnsi="Times New Roman" w:cs="Times New Roman"/>
          <w:b/>
          <w:sz w:val="26"/>
          <w:szCs w:val="26"/>
        </w:rPr>
        <w:t>DCN0201MOV1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1DB4C91E" w14:textId="3CD29DC0" w:rsidR="00640FAE" w:rsidRDefault="00640FAE" w:rsidP="00640FAE">
      <w:pPr>
        <w:spacing w:after="160"/>
        <w:jc w:val="center"/>
      </w:pPr>
      <w:r>
        <w:rPr>
          <w:rFonts w:ascii="Times New Roman" w:eastAsia="Times New Roman" w:hAnsi="Times New Roman" w:cs="Times New Roman"/>
          <w:b/>
          <w:bCs/>
          <w:sz w:val="28"/>
          <w:szCs w:val="28"/>
        </w:rPr>
        <w:t>La Salud y Prevención: Fundamentos, Políticas, Promoción y Estrategias de Prevención Integral</w:t>
      </w:r>
    </w:p>
    <w:p w14:paraId="3B944B9B" w14:textId="77777777" w:rsidR="00640FAE" w:rsidRDefault="00640FAE" w:rsidP="00640FAE">
      <w:pPr>
        <w:spacing w:after="160"/>
        <w:jc w:val="center"/>
      </w:pPr>
      <w:r>
        <w:rPr>
          <w:rFonts w:ascii="Times New Roman" w:eastAsia="Times New Roman" w:hAnsi="Times New Roman" w:cs="Times New Roman"/>
          <w:b/>
          <w:bCs/>
          <w:sz w:val="24"/>
          <w:szCs w:val="24"/>
        </w:rPr>
        <w:t>Trabajo de Investigación</w:t>
      </w:r>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041963E3" w:rsidR="00002EC8" w:rsidRPr="00D40A0F" w:rsidRDefault="00002EC8" w:rsidP="00002EC8">
      <w:pPr>
        <w:jc w:val="right"/>
        <w:rPr>
          <w:rFonts w:ascii="Times New Roman" w:hAnsi="Times New Roman" w:cs="Times New Roman"/>
          <w:bCs/>
          <w:sz w:val="26"/>
          <w:szCs w:val="26"/>
          <w:lang w:val="es-VE"/>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593611" w:rsidRPr="00D40A0F">
        <w:rPr>
          <w:rFonts w:ascii="Times New Roman" w:hAnsi="Times New Roman" w:cs="Times New Roman"/>
          <w:sz w:val="26"/>
          <w:szCs w:val="26"/>
        </w:rPr>
        <w:t xml:space="preserve">Stephany Reyes V.- </w:t>
      </w:r>
      <w:r w:rsidR="00967823">
        <w:rPr>
          <w:rFonts w:ascii="Times New Roman" w:hAnsi="Times New Roman" w:cs="Times New Roman"/>
          <w:sz w:val="26"/>
          <w:szCs w:val="26"/>
        </w:rPr>
        <w:t>28.173.373</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08045B8C"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C1560F">
        <w:rPr>
          <w:rFonts w:ascii="Times New Roman" w:hAnsi="Times New Roman" w:cs="Times New Roman"/>
          <w:bCs/>
          <w:sz w:val="26"/>
          <w:szCs w:val="26"/>
          <w:lang w:val="es-VE"/>
        </w:rPr>
        <w:t>mayo</w:t>
      </w:r>
      <w:r w:rsidRPr="00D40A0F">
        <w:rPr>
          <w:rFonts w:ascii="Times New Roman" w:hAnsi="Times New Roman" w:cs="Times New Roman"/>
          <w:bCs/>
          <w:sz w:val="26"/>
          <w:szCs w:val="26"/>
          <w:lang w:val="es-VE"/>
        </w:rPr>
        <w:t xml:space="preserve"> de 2026.</w:t>
      </w:r>
    </w:p>
    <w:p w14:paraId="1769E84A" w14:textId="3AAFF47B" w:rsidR="00002EC8" w:rsidRPr="00D40A0F" w:rsidRDefault="00593611" w:rsidP="004E06D4">
      <w:pPr>
        <w:tabs>
          <w:tab w:val="left" w:pos="1027"/>
        </w:tabs>
        <w:jc w:val="center"/>
        <w:rPr>
          <w:rFonts w:ascii="Times New Roman" w:hAnsi="Times New Roman" w:cs="Times New Roman"/>
          <w:b/>
          <w:bCs/>
          <w:sz w:val="24"/>
          <w:szCs w:val="24"/>
          <w:lang w:val="es-VE"/>
        </w:rPr>
      </w:pPr>
      <w:r w:rsidRPr="00D40A0F">
        <w:rPr>
          <w:rFonts w:ascii="Times New Roman" w:hAnsi="Times New Roman" w:cs="Times New Roman"/>
          <w:b/>
          <w:bCs/>
          <w:sz w:val="24"/>
          <w:szCs w:val="24"/>
          <w:lang w:val="es-VE"/>
        </w:rPr>
        <w:lastRenderedPageBreak/>
        <w:t>INDICE</w:t>
      </w:r>
    </w:p>
    <w:sdt>
      <w:sdtPr>
        <w:rPr>
          <w:rFonts w:ascii="Times New Roman" w:eastAsiaTheme="minorHAnsi" w:hAnsi="Times New Roman" w:cs="Times New Roman"/>
          <w:color w:val="auto"/>
          <w:sz w:val="36"/>
          <w:szCs w:val="36"/>
          <w:lang w:val="es-ES"/>
        </w:rPr>
        <w:id w:val="-1986302479"/>
        <w:docPartObj>
          <w:docPartGallery w:val="Table of Contents"/>
          <w:docPartUnique/>
        </w:docPartObj>
      </w:sdtPr>
      <w:sdtEndPr>
        <w:rPr>
          <w:b/>
          <w:bCs/>
          <w:sz w:val="24"/>
          <w:szCs w:val="24"/>
        </w:rPr>
      </w:sdtEndPr>
      <w:sdtContent>
        <w:p w14:paraId="4D91C916" w14:textId="77777777" w:rsidR="004E06D4" w:rsidRPr="00D40A0F" w:rsidRDefault="004E06D4" w:rsidP="004E06D4">
          <w:pPr>
            <w:pStyle w:val="TtuloTDC"/>
            <w:spacing w:line="360" w:lineRule="auto"/>
            <w:rPr>
              <w:rFonts w:ascii="Times New Roman" w:hAnsi="Times New Roman" w:cs="Times New Roman"/>
              <w:sz w:val="24"/>
              <w:szCs w:val="24"/>
            </w:rPr>
          </w:pPr>
        </w:p>
        <w:p w14:paraId="0282B199" w14:textId="02A7FD83" w:rsidR="00C1560F" w:rsidRDefault="004E06D4">
          <w:pPr>
            <w:pStyle w:val="TDC1"/>
            <w:rPr>
              <w:rFonts w:eastAsiaTheme="minorEastAsia"/>
              <w:b w:val="0"/>
              <w:bCs w:val="0"/>
              <w:kern w:val="2"/>
              <w:sz w:val="24"/>
              <w:szCs w:val="24"/>
              <w:lang w:val="es-MX" w:eastAsia="es-MX"/>
              <w14:ligatures w14:val="standardContextual"/>
            </w:rPr>
          </w:pPr>
          <w:r w:rsidRPr="00D40A0F">
            <w:rPr>
              <w:rFonts w:ascii="Times New Roman" w:hAnsi="Times New Roman" w:cs="Times New Roman"/>
              <w:sz w:val="24"/>
              <w:szCs w:val="24"/>
            </w:rPr>
            <w:fldChar w:fldCharType="begin"/>
          </w:r>
          <w:r w:rsidRPr="00D40A0F">
            <w:rPr>
              <w:rFonts w:ascii="Times New Roman" w:hAnsi="Times New Roman" w:cs="Times New Roman"/>
              <w:sz w:val="24"/>
              <w:szCs w:val="24"/>
            </w:rPr>
            <w:instrText xml:space="preserve"> TOC \o "1-3" \h \z \u </w:instrText>
          </w:r>
          <w:r w:rsidRPr="00D40A0F">
            <w:rPr>
              <w:rFonts w:ascii="Times New Roman" w:hAnsi="Times New Roman" w:cs="Times New Roman"/>
              <w:sz w:val="24"/>
              <w:szCs w:val="24"/>
            </w:rPr>
            <w:fldChar w:fldCharType="separate"/>
          </w:r>
          <w:hyperlink w:anchor="_Toc230525914" w:history="1">
            <w:r w:rsidR="00C1560F" w:rsidRPr="00EE0570">
              <w:rPr>
                <w:rStyle w:val="Hipervnculo"/>
                <w:rFonts w:cs="Times New Roman"/>
              </w:rPr>
              <w:t>INTRODUCCIÓN</w:t>
            </w:r>
            <w:r w:rsidR="00C1560F">
              <w:rPr>
                <w:webHidden/>
              </w:rPr>
              <w:tab/>
            </w:r>
            <w:r w:rsidR="00C1560F">
              <w:rPr>
                <w:webHidden/>
              </w:rPr>
              <w:fldChar w:fldCharType="begin"/>
            </w:r>
            <w:r w:rsidR="00C1560F">
              <w:rPr>
                <w:webHidden/>
              </w:rPr>
              <w:instrText xml:space="preserve"> PAGEREF _Toc230525914 \h </w:instrText>
            </w:r>
            <w:r w:rsidR="00C1560F">
              <w:rPr>
                <w:webHidden/>
              </w:rPr>
            </w:r>
            <w:r w:rsidR="00C1560F">
              <w:rPr>
                <w:webHidden/>
              </w:rPr>
              <w:fldChar w:fldCharType="separate"/>
            </w:r>
            <w:r w:rsidR="00C1560F">
              <w:rPr>
                <w:webHidden/>
              </w:rPr>
              <w:t>1</w:t>
            </w:r>
            <w:r w:rsidR="00C1560F">
              <w:rPr>
                <w:webHidden/>
              </w:rPr>
              <w:fldChar w:fldCharType="end"/>
            </w:r>
          </w:hyperlink>
        </w:p>
        <w:p w14:paraId="6AE3DB19" w14:textId="1E26E5DD" w:rsidR="00C1560F" w:rsidRDefault="00C1560F">
          <w:pPr>
            <w:pStyle w:val="TDC1"/>
            <w:rPr>
              <w:rFonts w:eastAsiaTheme="minorEastAsia"/>
              <w:b w:val="0"/>
              <w:bCs w:val="0"/>
              <w:kern w:val="2"/>
              <w:sz w:val="24"/>
              <w:szCs w:val="24"/>
              <w:lang w:val="es-MX" w:eastAsia="es-MX"/>
              <w14:ligatures w14:val="standardContextual"/>
            </w:rPr>
          </w:pPr>
          <w:hyperlink w:anchor="_Toc230525915" w:history="1">
            <w:r w:rsidRPr="00EE0570">
              <w:rPr>
                <w:rStyle w:val="Hipervnculo"/>
                <w:rFonts w:eastAsia="Times New Roman"/>
              </w:rPr>
              <w:t>1. Salud: Concepto y Evolución Histórica</w:t>
            </w:r>
            <w:r>
              <w:rPr>
                <w:webHidden/>
              </w:rPr>
              <w:tab/>
            </w:r>
            <w:r>
              <w:rPr>
                <w:webHidden/>
              </w:rPr>
              <w:fldChar w:fldCharType="begin"/>
            </w:r>
            <w:r>
              <w:rPr>
                <w:webHidden/>
              </w:rPr>
              <w:instrText xml:space="preserve"> PAGEREF _Toc230525915 \h </w:instrText>
            </w:r>
            <w:r>
              <w:rPr>
                <w:webHidden/>
              </w:rPr>
            </w:r>
            <w:r>
              <w:rPr>
                <w:webHidden/>
              </w:rPr>
              <w:fldChar w:fldCharType="separate"/>
            </w:r>
            <w:r>
              <w:rPr>
                <w:webHidden/>
              </w:rPr>
              <w:t>3</w:t>
            </w:r>
            <w:r>
              <w:rPr>
                <w:webHidden/>
              </w:rPr>
              <w:fldChar w:fldCharType="end"/>
            </w:r>
          </w:hyperlink>
        </w:p>
        <w:p w14:paraId="425947D8" w14:textId="0B439EE6"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16" w:history="1">
            <w:r w:rsidRPr="00EE0570">
              <w:rPr>
                <w:rStyle w:val="Hipervnculo"/>
                <w:rFonts w:eastAsia="Times New Roman"/>
                <w:noProof/>
              </w:rPr>
              <w:t>1.1 Concepto de Salud</w:t>
            </w:r>
            <w:r>
              <w:rPr>
                <w:noProof/>
                <w:webHidden/>
              </w:rPr>
              <w:tab/>
            </w:r>
            <w:r>
              <w:rPr>
                <w:noProof/>
                <w:webHidden/>
              </w:rPr>
              <w:fldChar w:fldCharType="begin"/>
            </w:r>
            <w:r>
              <w:rPr>
                <w:noProof/>
                <w:webHidden/>
              </w:rPr>
              <w:instrText xml:space="preserve"> PAGEREF _Toc230525916 \h </w:instrText>
            </w:r>
            <w:r>
              <w:rPr>
                <w:noProof/>
                <w:webHidden/>
              </w:rPr>
            </w:r>
            <w:r>
              <w:rPr>
                <w:noProof/>
                <w:webHidden/>
              </w:rPr>
              <w:fldChar w:fldCharType="separate"/>
            </w:r>
            <w:r>
              <w:rPr>
                <w:noProof/>
                <w:webHidden/>
              </w:rPr>
              <w:t>3</w:t>
            </w:r>
            <w:r>
              <w:rPr>
                <w:noProof/>
                <w:webHidden/>
              </w:rPr>
              <w:fldChar w:fldCharType="end"/>
            </w:r>
          </w:hyperlink>
        </w:p>
        <w:p w14:paraId="7625FA50" w14:textId="22DC5FBC"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17" w:history="1">
            <w:r w:rsidRPr="00EE0570">
              <w:rPr>
                <w:rStyle w:val="Hipervnculo"/>
                <w:rFonts w:eastAsia="Times New Roman"/>
                <w:noProof/>
              </w:rPr>
              <w:t>1.2 Evolución Histórica del Concepto de Salud</w:t>
            </w:r>
            <w:r>
              <w:rPr>
                <w:noProof/>
                <w:webHidden/>
              </w:rPr>
              <w:tab/>
            </w:r>
            <w:r>
              <w:rPr>
                <w:noProof/>
                <w:webHidden/>
              </w:rPr>
              <w:fldChar w:fldCharType="begin"/>
            </w:r>
            <w:r>
              <w:rPr>
                <w:noProof/>
                <w:webHidden/>
              </w:rPr>
              <w:instrText xml:space="preserve"> PAGEREF _Toc230525917 \h </w:instrText>
            </w:r>
            <w:r>
              <w:rPr>
                <w:noProof/>
                <w:webHidden/>
              </w:rPr>
            </w:r>
            <w:r>
              <w:rPr>
                <w:noProof/>
                <w:webHidden/>
              </w:rPr>
              <w:fldChar w:fldCharType="separate"/>
            </w:r>
            <w:r>
              <w:rPr>
                <w:noProof/>
                <w:webHidden/>
              </w:rPr>
              <w:t>4</w:t>
            </w:r>
            <w:r>
              <w:rPr>
                <w:noProof/>
                <w:webHidden/>
              </w:rPr>
              <w:fldChar w:fldCharType="end"/>
            </w:r>
          </w:hyperlink>
        </w:p>
        <w:p w14:paraId="2A00CEE4" w14:textId="7D388CBC" w:rsidR="00C1560F" w:rsidRDefault="00C1560F">
          <w:pPr>
            <w:pStyle w:val="TDC1"/>
            <w:rPr>
              <w:rFonts w:eastAsiaTheme="minorEastAsia"/>
              <w:b w:val="0"/>
              <w:bCs w:val="0"/>
              <w:kern w:val="2"/>
              <w:sz w:val="24"/>
              <w:szCs w:val="24"/>
              <w:lang w:val="es-MX" w:eastAsia="es-MX"/>
              <w14:ligatures w14:val="standardContextual"/>
            </w:rPr>
          </w:pPr>
          <w:hyperlink w:anchor="_Toc230525918" w:history="1">
            <w:r w:rsidRPr="00EE0570">
              <w:rPr>
                <w:rStyle w:val="Hipervnculo"/>
                <w:rFonts w:eastAsia="Times New Roman"/>
              </w:rPr>
              <w:t>2. Derecho a la Salud: Organizaciones Nacionales e Internacionales</w:t>
            </w:r>
            <w:r>
              <w:rPr>
                <w:webHidden/>
              </w:rPr>
              <w:tab/>
            </w:r>
            <w:r>
              <w:rPr>
                <w:webHidden/>
              </w:rPr>
              <w:fldChar w:fldCharType="begin"/>
            </w:r>
            <w:r>
              <w:rPr>
                <w:webHidden/>
              </w:rPr>
              <w:instrText xml:space="preserve"> PAGEREF _Toc230525918 \h </w:instrText>
            </w:r>
            <w:r>
              <w:rPr>
                <w:webHidden/>
              </w:rPr>
            </w:r>
            <w:r>
              <w:rPr>
                <w:webHidden/>
              </w:rPr>
              <w:fldChar w:fldCharType="separate"/>
            </w:r>
            <w:r>
              <w:rPr>
                <w:webHidden/>
              </w:rPr>
              <w:t>5</w:t>
            </w:r>
            <w:r>
              <w:rPr>
                <w:webHidden/>
              </w:rPr>
              <w:fldChar w:fldCharType="end"/>
            </w:r>
          </w:hyperlink>
        </w:p>
        <w:p w14:paraId="7C0DD62B" w14:textId="1A30EA52"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19" w:history="1">
            <w:r w:rsidRPr="00EE0570">
              <w:rPr>
                <w:rStyle w:val="Hipervnculo"/>
                <w:rFonts w:eastAsia="Times New Roman"/>
                <w:noProof/>
              </w:rPr>
              <w:t>2.1 El Derecho a la Salud como Derecho Humano Fundamental</w:t>
            </w:r>
            <w:r>
              <w:rPr>
                <w:noProof/>
                <w:webHidden/>
              </w:rPr>
              <w:tab/>
            </w:r>
            <w:r>
              <w:rPr>
                <w:noProof/>
                <w:webHidden/>
              </w:rPr>
              <w:fldChar w:fldCharType="begin"/>
            </w:r>
            <w:r>
              <w:rPr>
                <w:noProof/>
                <w:webHidden/>
              </w:rPr>
              <w:instrText xml:space="preserve"> PAGEREF _Toc230525919 \h </w:instrText>
            </w:r>
            <w:r>
              <w:rPr>
                <w:noProof/>
                <w:webHidden/>
              </w:rPr>
            </w:r>
            <w:r>
              <w:rPr>
                <w:noProof/>
                <w:webHidden/>
              </w:rPr>
              <w:fldChar w:fldCharType="separate"/>
            </w:r>
            <w:r>
              <w:rPr>
                <w:noProof/>
                <w:webHidden/>
              </w:rPr>
              <w:t>5</w:t>
            </w:r>
            <w:r>
              <w:rPr>
                <w:noProof/>
                <w:webHidden/>
              </w:rPr>
              <w:fldChar w:fldCharType="end"/>
            </w:r>
          </w:hyperlink>
        </w:p>
        <w:p w14:paraId="39DE2B8E" w14:textId="6B41AC9D"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20" w:history="1">
            <w:r w:rsidRPr="00EE0570">
              <w:rPr>
                <w:rStyle w:val="Hipervnculo"/>
                <w:rFonts w:eastAsia="Times New Roman"/>
                <w:noProof/>
              </w:rPr>
              <w:t>2.2 Organizaciones Internacionales de Salud</w:t>
            </w:r>
            <w:r>
              <w:rPr>
                <w:noProof/>
                <w:webHidden/>
              </w:rPr>
              <w:tab/>
            </w:r>
            <w:r>
              <w:rPr>
                <w:noProof/>
                <w:webHidden/>
              </w:rPr>
              <w:fldChar w:fldCharType="begin"/>
            </w:r>
            <w:r>
              <w:rPr>
                <w:noProof/>
                <w:webHidden/>
              </w:rPr>
              <w:instrText xml:space="preserve"> PAGEREF _Toc230525920 \h </w:instrText>
            </w:r>
            <w:r>
              <w:rPr>
                <w:noProof/>
                <w:webHidden/>
              </w:rPr>
            </w:r>
            <w:r>
              <w:rPr>
                <w:noProof/>
                <w:webHidden/>
              </w:rPr>
              <w:fldChar w:fldCharType="separate"/>
            </w:r>
            <w:r>
              <w:rPr>
                <w:noProof/>
                <w:webHidden/>
              </w:rPr>
              <w:t>6</w:t>
            </w:r>
            <w:r>
              <w:rPr>
                <w:noProof/>
                <w:webHidden/>
              </w:rPr>
              <w:fldChar w:fldCharType="end"/>
            </w:r>
          </w:hyperlink>
        </w:p>
        <w:p w14:paraId="1B39AAD9" w14:textId="69F6CCA5"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21" w:history="1">
            <w:r w:rsidRPr="00EE0570">
              <w:rPr>
                <w:rStyle w:val="Hipervnculo"/>
                <w:rFonts w:eastAsia="Times New Roman"/>
                <w:noProof/>
              </w:rPr>
              <w:t>2.3 Organizaciones Nacionales de Salud en Venezuela</w:t>
            </w:r>
            <w:r>
              <w:rPr>
                <w:noProof/>
                <w:webHidden/>
              </w:rPr>
              <w:tab/>
            </w:r>
            <w:r>
              <w:rPr>
                <w:noProof/>
                <w:webHidden/>
              </w:rPr>
              <w:fldChar w:fldCharType="begin"/>
            </w:r>
            <w:r>
              <w:rPr>
                <w:noProof/>
                <w:webHidden/>
              </w:rPr>
              <w:instrText xml:space="preserve"> PAGEREF _Toc230525921 \h </w:instrText>
            </w:r>
            <w:r>
              <w:rPr>
                <w:noProof/>
                <w:webHidden/>
              </w:rPr>
            </w:r>
            <w:r>
              <w:rPr>
                <w:noProof/>
                <w:webHidden/>
              </w:rPr>
              <w:fldChar w:fldCharType="separate"/>
            </w:r>
            <w:r>
              <w:rPr>
                <w:noProof/>
                <w:webHidden/>
              </w:rPr>
              <w:t>7</w:t>
            </w:r>
            <w:r>
              <w:rPr>
                <w:noProof/>
                <w:webHidden/>
              </w:rPr>
              <w:fldChar w:fldCharType="end"/>
            </w:r>
          </w:hyperlink>
        </w:p>
        <w:p w14:paraId="0E5C0C85" w14:textId="2C82FE17" w:rsidR="00C1560F" w:rsidRDefault="00C1560F">
          <w:pPr>
            <w:pStyle w:val="TDC1"/>
            <w:rPr>
              <w:rFonts w:eastAsiaTheme="minorEastAsia"/>
              <w:b w:val="0"/>
              <w:bCs w:val="0"/>
              <w:kern w:val="2"/>
              <w:sz w:val="24"/>
              <w:szCs w:val="24"/>
              <w:lang w:val="es-MX" w:eastAsia="es-MX"/>
              <w14:ligatures w14:val="standardContextual"/>
            </w:rPr>
          </w:pPr>
          <w:hyperlink w:anchor="_Toc230525922" w:history="1">
            <w:r w:rsidRPr="00EE0570">
              <w:rPr>
                <w:rStyle w:val="Hipervnculo"/>
                <w:rFonts w:eastAsia="Times New Roman"/>
              </w:rPr>
              <w:t>3. Estrategias y Políticas de Salud</w:t>
            </w:r>
            <w:r>
              <w:rPr>
                <w:webHidden/>
              </w:rPr>
              <w:tab/>
            </w:r>
            <w:r>
              <w:rPr>
                <w:webHidden/>
              </w:rPr>
              <w:fldChar w:fldCharType="begin"/>
            </w:r>
            <w:r>
              <w:rPr>
                <w:webHidden/>
              </w:rPr>
              <w:instrText xml:space="preserve"> PAGEREF _Toc230525922 \h </w:instrText>
            </w:r>
            <w:r>
              <w:rPr>
                <w:webHidden/>
              </w:rPr>
            </w:r>
            <w:r>
              <w:rPr>
                <w:webHidden/>
              </w:rPr>
              <w:fldChar w:fldCharType="separate"/>
            </w:r>
            <w:r>
              <w:rPr>
                <w:webHidden/>
              </w:rPr>
              <w:t>8</w:t>
            </w:r>
            <w:r>
              <w:rPr>
                <w:webHidden/>
              </w:rPr>
              <w:fldChar w:fldCharType="end"/>
            </w:r>
          </w:hyperlink>
        </w:p>
        <w:p w14:paraId="7C58FAF1" w14:textId="028B1DAA"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23" w:history="1">
            <w:r w:rsidRPr="00EE0570">
              <w:rPr>
                <w:rStyle w:val="Hipervnculo"/>
                <w:rFonts w:eastAsia="Times New Roman"/>
                <w:noProof/>
              </w:rPr>
              <w:t>3.1 Definición de Política de Salud</w:t>
            </w:r>
            <w:r>
              <w:rPr>
                <w:noProof/>
                <w:webHidden/>
              </w:rPr>
              <w:tab/>
            </w:r>
            <w:r>
              <w:rPr>
                <w:noProof/>
                <w:webHidden/>
              </w:rPr>
              <w:fldChar w:fldCharType="begin"/>
            </w:r>
            <w:r>
              <w:rPr>
                <w:noProof/>
                <w:webHidden/>
              </w:rPr>
              <w:instrText xml:space="preserve"> PAGEREF _Toc230525923 \h </w:instrText>
            </w:r>
            <w:r>
              <w:rPr>
                <w:noProof/>
                <w:webHidden/>
              </w:rPr>
            </w:r>
            <w:r>
              <w:rPr>
                <w:noProof/>
                <w:webHidden/>
              </w:rPr>
              <w:fldChar w:fldCharType="separate"/>
            </w:r>
            <w:r>
              <w:rPr>
                <w:noProof/>
                <w:webHidden/>
              </w:rPr>
              <w:t>8</w:t>
            </w:r>
            <w:r>
              <w:rPr>
                <w:noProof/>
                <w:webHidden/>
              </w:rPr>
              <w:fldChar w:fldCharType="end"/>
            </w:r>
          </w:hyperlink>
        </w:p>
        <w:p w14:paraId="7C9FEB54" w14:textId="77CC5E69"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24" w:history="1">
            <w:r w:rsidRPr="00EE0570">
              <w:rPr>
                <w:rStyle w:val="Hipervnculo"/>
                <w:rFonts w:eastAsia="Times New Roman"/>
                <w:noProof/>
              </w:rPr>
              <w:t>3.2 Principales Estrategias de Salud</w:t>
            </w:r>
            <w:r>
              <w:rPr>
                <w:noProof/>
                <w:webHidden/>
              </w:rPr>
              <w:tab/>
            </w:r>
            <w:r>
              <w:rPr>
                <w:noProof/>
                <w:webHidden/>
              </w:rPr>
              <w:fldChar w:fldCharType="begin"/>
            </w:r>
            <w:r>
              <w:rPr>
                <w:noProof/>
                <w:webHidden/>
              </w:rPr>
              <w:instrText xml:space="preserve"> PAGEREF _Toc230525924 \h </w:instrText>
            </w:r>
            <w:r>
              <w:rPr>
                <w:noProof/>
                <w:webHidden/>
              </w:rPr>
            </w:r>
            <w:r>
              <w:rPr>
                <w:noProof/>
                <w:webHidden/>
              </w:rPr>
              <w:fldChar w:fldCharType="separate"/>
            </w:r>
            <w:r>
              <w:rPr>
                <w:noProof/>
                <w:webHidden/>
              </w:rPr>
              <w:t>8</w:t>
            </w:r>
            <w:r>
              <w:rPr>
                <w:noProof/>
                <w:webHidden/>
              </w:rPr>
              <w:fldChar w:fldCharType="end"/>
            </w:r>
          </w:hyperlink>
        </w:p>
        <w:p w14:paraId="1E13F86B" w14:textId="495A1895"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25" w:history="1">
            <w:r w:rsidRPr="00EE0570">
              <w:rPr>
                <w:rStyle w:val="Hipervnculo"/>
                <w:rFonts w:eastAsia="Times New Roman"/>
                <w:noProof/>
              </w:rPr>
              <w:t>3.3 Políticas de Salud en Venezuela</w:t>
            </w:r>
            <w:r>
              <w:rPr>
                <w:noProof/>
                <w:webHidden/>
              </w:rPr>
              <w:tab/>
            </w:r>
            <w:r>
              <w:rPr>
                <w:noProof/>
                <w:webHidden/>
              </w:rPr>
              <w:fldChar w:fldCharType="begin"/>
            </w:r>
            <w:r>
              <w:rPr>
                <w:noProof/>
                <w:webHidden/>
              </w:rPr>
              <w:instrText xml:space="preserve"> PAGEREF _Toc230525925 \h </w:instrText>
            </w:r>
            <w:r>
              <w:rPr>
                <w:noProof/>
                <w:webHidden/>
              </w:rPr>
            </w:r>
            <w:r>
              <w:rPr>
                <w:noProof/>
                <w:webHidden/>
              </w:rPr>
              <w:fldChar w:fldCharType="separate"/>
            </w:r>
            <w:r>
              <w:rPr>
                <w:noProof/>
                <w:webHidden/>
              </w:rPr>
              <w:t>9</w:t>
            </w:r>
            <w:r>
              <w:rPr>
                <w:noProof/>
                <w:webHidden/>
              </w:rPr>
              <w:fldChar w:fldCharType="end"/>
            </w:r>
          </w:hyperlink>
        </w:p>
        <w:p w14:paraId="7F2DE0EE" w14:textId="3252F5D2" w:rsidR="00C1560F" w:rsidRDefault="00C1560F">
          <w:pPr>
            <w:pStyle w:val="TDC1"/>
            <w:rPr>
              <w:rFonts w:eastAsiaTheme="minorEastAsia"/>
              <w:b w:val="0"/>
              <w:bCs w:val="0"/>
              <w:kern w:val="2"/>
              <w:sz w:val="24"/>
              <w:szCs w:val="24"/>
              <w:lang w:val="es-MX" w:eastAsia="es-MX"/>
              <w14:ligatures w14:val="standardContextual"/>
            </w:rPr>
          </w:pPr>
          <w:hyperlink w:anchor="_Toc230525926" w:history="1">
            <w:r w:rsidRPr="00EE0570">
              <w:rPr>
                <w:rStyle w:val="Hipervnculo"/>
                <w:rFonts w:eastAsia="Times New Roman"/>
              </w:rPr>
              <w:t>4. Promoción de la Cultura Sanitaria</w:t>
            </w:r>
            <w:r>
              <w:rPr>
                <w:webHidden/>
              </w:rPr>
              <w:tab/>
            </w:r>
            <w:r>
              <w:rPr>
                <w:webHidden/>
              </w:rPr>
              <w:fldChar w:fldCharType="begin"/>
            </w:r>
            <w:r>
              <w:rPr>
                <w:webHidden/>
              </w:rPr>
              <w:instrText xml:space="preserve"> PAGEREF _Toc230525926 \h </w:instrText>
            </w:r>
            <w:r>
              <w:rPr>
                <w:webHidden/>
              </w:rPr>
            </w:r>
            <w:r>
              <w:rPr>
                <w:webHidden/>
              </w:rPr>
              <w:fldChar w:fldCharType="separate"/>
            </w:r>
            <w:r>
              <w:rPr>
                <w:webHidden/>
              </w:rPr>
              <w:t>10</w:t>
            </w:r>
            <w:r>
              <w:rPr>
                <w:webHidden/>
              </w:rPr>
              <w:fldChar w:fldCharType="end"/>
            </w:r>
          </w:hyperlink>
        </w:p>
        <w:p w14:paraId="1E1B1648" w14:textId="18868B41"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27" w:history="1">
            <w:r w:rsidRPr="00EE0570">
              <w:rPr>
                <w:rStyle w:val="Hipervnculo"/>
                <w:rFonts w:eastAsia="Times New Roman"/>
                <w:noProof/>
              </w:rPr>
              <w:t>4.1 Concepto de Promoción de la Salud</w:t>
            </w:r>
            <w:r>
              <w:rPr>
                <w:noProof/>
                <w:webHidden/>
              </w:rPr>
              <w:tab/>
            </w:r>
            <w:r>
              <w:rPr>
                <w:noProof/>
                <w:webHidden/>
              </w:rPr>
              <w:fldChar w:fldCharType="begin"/>
            </w:r>
            <w:r>
              <w:rPr>
                <w:noProof/>
                <w:webHidden/>
              </w:rPr>
              <w:instrText xml:space="preserve"> PAGEREF _Toc230525927 \h </w:instrText>
            </w:r>
            <w:r>
              <w:rPr>
                <w:noProof/>
                <w:webHidden/>
              </w:rPr>
            </w:r>
            <w:r>
              <w:rPr>
                <w:noProof/>
                <w:webHidden/>
              </w:rPr>
              <w:fldChar w:fldCharType="separate"/>
            </w:r>
            <w:r>
              <w:rPr>
                <w:noProof/>
                <w:webHidden/>
              </w:rPr>
              <w:t>10</w:t>
            </w:r>
            <w:r>
              <w:rPr>
                <w:noProof/>
                <w:webHidden/>
              </w:rPr>
              <w:fldChar w:fldCharType="end"/>
            </w:r>
          </w:hyperlink>
        </w:p>
        <w:p w14:paraId="1032798A" w14:textId="1295B027"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28" w:history="1">
            <w:r w:rsidRPr="00EE0570">
              <w:rPr>
                <w:rStyle w:val="Hipervnculo"/>
                <w:rFonts w:eastAsia="Times New Roman"/>
                <w:noProof/>
              </w:rPr>
              <w:t>4.2 Estrategias de Promoción de la Cultura Sanitaria</w:t>
            </w:r>
            <w:r>
              <w:rPr>
                <w:noProof/>
                <w:webHidden/>
              </w:rPr>
              <w:tab/>
            </w:r>
            <w:r>
              <w:rPr>
                <w:noProof/>
                <w:webHidden/>
              </w:rPr>
              <w:fldChar w:fldCharType="begin"/>
            </w:r>
            <w:r>
              <w:rPr>
                <w:noProof/>
                <w:webHidden/>
              </w:rPr>
              <w:instrText xml:space="preserve"> PAGEREF _Toc230525928 \h </w:instrText>
            </w:r>
            <w:r>
              <w:rPr>
                <w:noProof/>
                <w:webHidden/>
              </w:rPr>
            </w:r>
            <w:r>
              <w:rPr>
                <w:noProof/>
                <w:webHidden/>
              </w:rPr>
              <w:fldChar w:fldCharType="separate"/>
            </w:r>
            <w:r>
              <w:rPr>
                <w:noProof/>
                <w:webHidden/>
              </w:rPr>
              <w:t>11</w:t>
            </w:r>
            <w:r>
              <w:rPr>
                <w:noProof/>
                <w:webHidden/>
              </w:rPr>
              <w:fldChar w:fldCharType="end"/>
            </w:r>
          </w:hyperlink>
        </w:p>
        <w:p w14:paraId="7B6D4B24" w14:textId="1AA24A23" w:rsidR="00C1560F" w:rsidRDefault="00C1560F">
          <w:pPr>
            <w:pStyle w:val="TDC1"/>
            <w:rPr>
              <w:rFonts w:eastAsiaTheme="minorEastAsia"/>
              <w:b w:val="0"/>
              <w:bCs w:val="0"/>
              <w:kern w:val="2"/>
              <w:sz w:val="24"/>
              <w:szCs w:val="24"/>
              <w:lang w:val="es-MX" w:eastAsia="es-MX"/>
              <w14:ligatures w14:val="standardContextual"/>
            </w:rPr>
          </w:pPr>
          <w:hyperlink w:anchor="_Toc230525929" w:history="1">
            <w:r w:rsidRPr="00EE0570">
              <w:rPr>
                <w:rStyle w:val="Hipervnculo"/>
                <w:rFonts w:eastAsia="Times New Roman"/>
              </w:rPr>
              <w:t>5. Prevención: Concepto y Niveles</w:t>
            </w:r>
            <w:r>
              <w:rPr>
                <w:webHidden/>
              </w:rPr>
              <w:tab/>
            </w:r>
            <w:r>
              <w:rPr>
                <w:webHidden/>
              </w:rPr>
              <w:fldChar w:fldCharType="begin"/>
            </w:r>
            <w:r>
              <w:rPr>
                <w:webHidden/>
              </w:rPr>
              <w:instrText xml:space="preserve"> PAGEREF _Toc230525929 \h </w:instrText>
            </w:r>
            <w:r>
              <w:rPr>
                <w:webHidden/>
              </w:rPr>
            </w:r>
            <w:r>
              <w:rPr>
                <w:webHidden/>
              </w:rPr>
              <w:fldChar w:fldCharType="separate"/>
            </w:r>
            <w:r>
              <w:rPr>
                <w:webHidden/>
              </w:rPr>
              <w:t>11</w:t>
            </w:r>
            <w:r>
              <w:rPr>
                <w:webHidden/>
              </w:rPr>
              <w:fldChar w:fldCharType="end"/>
            </w:r>
          </w:hyperlink>
        </w:p>
        <w:p w14:paraId="2AE8A422" w14:textId="09E0F57F"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30" w:history="1">
            <w:r w:rsidRPr="00EE0570">
              <w:rPr>
                <w:rStyle w:val="Hipervnculo"/>
                <w:rFonts w:eastAsia="Times New Roman"/>
                <w:noProof/>
              </w:rPr>
              <w:t>5.1 Concepto de Prevención</w:t>
            </w:r>
            <w:r>
              <w:rPr>
                <w:noProof/>
                <w:webHidden/>
              </w:rPr>
              <w:tab/>
            </w:r>
            <w:r>
              <w:rPr>
                <w:noProof/>
                <w:webHidden/>
              </w:rPr>
              <w:fldChar w:fldCharType="begin"/>
            </w:r>
            <w:r>
              <w:rPr>
                <w:noProof/>
                <w:webHidden/>
              </w:rPr>
              <w:instrText xml:space="preserve"> PAGEREF _Toc230525930 \h </w:instrText>
            </w:r>
            <w:r>
              <w:rPr>
                <w:noProof/>
                <w:webHidden/>
              </w:rPr>
            </w:r>
            <w:r>
              <w:rPr>
                <w:noProof/>
                <w:webHidden/>
              </w:rPr>
              <w:fldChar w:fldCharType="separate"/>
            </w:r>
            <w:r>
              <w:rPr>
                <w:noProof/>
                <w:webHidden/>
              </w:rPr>
              <w:t>11</w:t>
            </w:r>
            <w:r>
              <w:rPr>
                <w:noProof/>
                <w:webHidden/>
              </w:rPr>
              <w:fldChar w:fldCharType="end"/>
            </w:r>
          </w:hyperlink>
        </w:p>
        <w:p w14:paraId="39ED702A" w14:textId="4AE93BFC"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31" w:history="1">
            <w:r w:rsidRPr="00EE0570">
              <w:rPr>
                <w:rStyle w:val="Hipervnculo"/>
                <w:rFonts w:eastAsia="Times New Roman"/>
                <w:noProof/>
              </w:rPr>
              <w:t>5.2 Niveles de Prevención</w:t>
            </w:r>
            <w:r>
              <w:rPr>
                <w:noProof/>
                <w:webHidden/>
              </w:rPr>
              <w:tab/>
            </w:r>
            <w:r>
              <w:rPr>
                <w:noProof/>
                <w:webHidden/>
              </w:rPr>
              <w:fldChar w:fldCharType="begin"/>
            </w:r>
            <w:r>
              <w:rPr>
                <w:noProof/>
                <w:webHidden/>
              </w:rPr>
              <w:instrText xml:space="preserve"> PAGEREF _Toc230525931 \h </w:instrText>
            </w:r>
            <w:r>
              <w:rPr>
                <w:noProof/>
                <w:webHidden/>
              </w:rPr>
            </w:r>
            <w:r>
              <w:rPr>
                <w:noProof/>
                <w:webHidden/>
              </w:rPr>
              <w:fldChar w:fldCharType="separate"/>
            </w:r>
            <w:r>
              <w:rPr>
                <w:noProof/>
                <w:webHidden/>
              </w:rPr>
              <w:t>12</w:t>
            </w:r>
            <w:r>
              <w:rPr>
                <w:noProof/>
                <w:webHidden/>
              </w:rPr>
              <w:fldChar w:fldCharType="end"/>
            </w:r>
          </w:hyperlink>
        </w:p>
        <w:p w14:paraId="64F4BD7E" w14:textId="08582E2C" w:rsidR="00C1560F" w:rsidRDefault="00C1560F">
          <w:pPr>
            <w:pStyle w:val="TDC1"/>
            <w:rPr>
              <w:rFonts w:eastAsiaTheme="minorEastAsia"/>
              <w:b w:val="0"/>
              <w:bCs w:val="0"/>
              <w:kern w:val="2"/>
              <w:sz w:val="24"/>
              <w:szCs w:val="24"/>
              <w:lang w:val="es-MX" w:eastAsia="es-MX"/>
              <w14:ligatures w14:val="standardContextual"/>
            </w:rPr>
          </w:pPr>
          <w:hyperlink w:anchor="_Toc230525932" w:history="1">
            <w:r w:rsidRPr="00EE0570">
              <w:rPr>
                <w:rStyle w:val="Hipervnculo"/>
                <w:rFonts w:eastAsia="Times New Roman"/>
              </w:rPr>
              <w:t>6. Factores de Prevención Integral</w:t>
            </w:r>
            <w:r>
              <w:rPr>
                <w:webHidden/>
              </w:rPr>
              <w:tab/>
            </w:r>
            <w:r>
              <w:rPr>
                <w:webHidden/>
              </w:rPr>
              <w:fldChar w:fldCharType="begin"/>
            </w:r>
            <w:r>
              <w:rPr>
                <w:webHidden/>
              </w:rPr>
              <w:instrText xml:space="preserve"> PAGEREF _Toc230525932 \h </w:instrText>
            </w:r>
            <w:r>
              <w:rPr>
                <w:webHidden/>
              </w:rPr>
            </w:r>
            <w:r>
              <w:rPr>
                <w:webHidden/>
              </w:rPr>
              <w:fldChar w:fldCharType="separate"/>
            </w:r>
            <w:r>
              <w:rPr>
                <w:webHidden/>
              </w:rPr>
              <w:t>13</w:t>
            </w:r>
            <w:r>
              <w:rPr>
                <w:webHidden/>
              </w:rPr>
              <w:fldChar w:fldCharType="end"/>
            </w:r>
          </w:hyperlink>
        </w:p>
        <w:p w14:paraId="1C167A7E" w14:textId="485AD331" w:rsidR="00C1560F" w:rsidRDefault="00C1560F">
          <w:pPr>
            <w:pStyle w:val="TDC1"/>
            <w:rPr>
              <w:rFonts w:eastAsiaTheme="minorEastAsia"/>
              <w:b w:val="0"/>
              <w:bCs w:val="0"/>
              <w:kern w:val="2"/>
              <w:sz w:val="24"/>
              <w:szCs w:val="24"/>
              <w:lang w:val="es-MX" w:eastAsia="es-MX"/>
              <w14:ligatures w14:val="standardContextual"/>
            </w:rPr>
          </w:pPr>
          <w:hyperlink w:anchor="_Toc230525933" w:history="1">
            <w:r w:rsidRPr="00EE0570">
              <w:rPr>
                <w:rStyle w:val="Hipervnculo"/>
                <w:rFonts w:eastAsia="Times New Roman"/>
              </w:rPr>
              <w:t>7. Focos de Infección: Tipos y Estrategias</w:t>
            </w:r>
            <w:r>
              <w:rPr>
                <w:webHidden/>
              </w:rPr>
              <w:tab/>
            </w:r>
            <w:r>
              <w:rPr>
                <w:webHidden/>
              </w:rPr>
              <w:fldChar w:fldCharType="begin"/>
            </w:r>
            <w:r>
              <w:rPr>
                <w:webHidden/>
              </w:rPr>
              <w:instrText xml:space="preserve"> PAGEREF _Toc230525933 \h </w:instrText>
            </w:r>
            <w:r>
              <w:rPr>
                <w:webHidden/>
              </w:rPr>
            </w:r>
            <w:r>
              <w:rPr>
                <w:webHidden/>
              </w:rPr>
              <w:fldChar w:fldCharType="separate"/>
            </w:r>
            <w:r>
              <w:rPr>
                <w:webHidden/>
              </w:rPr>
              <w:t>15</w:t>
            </w:r>
            <w:r>
              <w:rPr>
                <w:webHidden/>
              </w:rPr>
              <w:fldChar w:fldCharType="end"/>
            </w:r>
          </w:hyperlink>
        </w:p>
        <w:p w14:paraId="256606F2" w14:textId="3D1C8320"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34" w:history="1">
            <w:r w:rsidRPr="00EE0570">
              <w:rPr>
                <w:rStyle w:val="Hipervnculo"/>
                <w:rFonts w:eastAsia="Times New Roman"/>
                <w:noProof/>
              </w:rPr>
              <w:t>7.1 Concepto de Foco de Infección</w:t>
            </w:r>
            <w:r>
              <w:rPr>
                <w:noProof/>
                <w:webHidden/>
              </w:rPr>
              <w:tab/>
            </w:r>
            <w:r>
              <w:rPr>
                <w:noProof/>
                <w:webHidden/>
              </w:rPr>
              <w:fldChar w:fldCharType="begin"/>
            </w:r>
            <w:r>
              <w:rPr>
                <w:noProof/>
                <w:webHidden/>
              </w:rPr>
              <w:instrText xml:space="preserve"> PAGEREF _Toc230525934 \h </w:instrText>
            </w:r>
            <w:r>
              <w:rPr>
                <w:noProof/>
                <w:webHidden/>
              </w:rPr>
            </w:r>
            <w:r>
              <w:rPr>
                <w:noProof/>
                <w:webHidden/>
              </w:rPr>
              <w:fldChar w:fldCharType="separate"/>
            </w:r>
            <w:r>
              <w:rPr>
                <w:noProof/>
                <w:webHidden/>
              </w:rPr>
              <w:t>15</w:t>
            </w:r>
            <w:r>
              <w:rPr>
                <w:noProof/>
                <w:webHidden/>
              </w:rPr>
              <w:fldChar w:fldCharType="end"/>
            </w:r>
          </w:hyperlink>
        </w:p>
        <w:p w14:paraId="56253D37" w14:textId="55C8DFC3"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35" w:history="1">
            <w:r w:rsidRPr="00EE0570">
              <w:rPr>
                <w:rStyle w:val="Hipervnculo"/>
                <w:rFonts w:eastAsia="Times New Roman"/>
                <w:noProof/>
              </w:rPr>
              <w:t>7.2 Tipos de Focos de Infección</w:t>
            </w:r>
            <w:r>
              <w:rPr>
                <w:noProof/>
                <w:webHidden/>
              </w:rPr>
              <w:tab/>
            </w:r>
            <w:r>
              <w:rPr>
                <w:noProof/>
                <w:webHidden/>
              </w:rPr>
              <w:fldChar w:fldCharType="begin"/>
            </w:r>
            <w:r>
              <w:rPr>
                <w:noProof/>
                <w:webHidden/>
              </w:rPr>
              <w:instrText xml:space="preserve"> PAGEREF _Toc230525935 \h </w:instrText>
            </w:r>
            <w:r>
              <w:rPr>
                <w:noProof/>
                <w:webHidden/>
              </w:rPr>
            </w:r>
            <w:r>
              <w:rPr>
                <w:noProof/>
                <w:webHidden/>
              </w:rPr>
              <w:fldChar w:fldCharType="separate"/>
            </w:r>
            <w:r>
              <w:rPr>
                <w:noProof/>
                <w:webHidden/>
              </w:rPr>
              <w:t>16</w:t>
            </w:r>
            <w:r>
              <w:rPr>
                <w:noProof/>
                <w:webHidden/>
              </w:rPr>
              <w:fldChar w:fldCharType="end"/>
            </w:r>
          </w:hyperlink>
        </w:p>
        <w:p w14:paraId="6DAA55DF" w14:textId="40F9BFEF" w:rsidR="00C1560F" w:rsidRDefault="00C1560F">
          <w:pPr>
            <w:pStyle w:val="TDC2"/>
            <w:tabs>
              <w:tab w:val="right" w:leader="dot" w:pos="8261"/>
            </w:tabs>
            <w:rPr>
              <w:rFonts w:eastAsiaTheme="minorEastAsia"/>
              <w:noProof/>
              <w:kern w:val="2"/>
              <w:sz w:val="24"/>
              <w:szCs w:val="24"/>
              <w:lang w:val="es-MX" w:eastAsia="es-MX"/>
              <w14:ligatures w14:val="standardContextual"/>
            </w:rPr>
          </w:pPr>
          <w:hyperlink w:anchor="_Toc230525936" w:history="1">
            <w:r w:rsidRPr="00EE0570">
              <w:rPr>
                <w:rStyle w:val="Hipervnculo"/>
                <w:rFonts w:eastAsia="Times New Roman"/>
                <w:noProof/>
              </w:rPr>
              <w:t>7.3 Estrategias para el Control de Focos de Infección</w:t>
            </w:r>
            <w:r>
              <w:rPr>
                <w:noProof/>
                <w:webHidden/>
              </w:rPr>
              <w:tab/>
            </w:r>
            <w:r>
              <w:rPr>
                <w:noProof/>
                <w:webHidden/>
              </w:rPr>
              <w:fldChar w:fldCharType="begin"/>
            </w:r>
            <w:r>
              <w:rPr>
                <w:noProof/>
                <w:webHidden/>
              </w:rPr>
              <w:instrText xml:space="preserve"> PAGEREF _Toc230525936 \h </w:instrText>
            </w:r>
            <w:r>
              <w:rPr>
                <w:noProof/>
                <w:webHidden/>
              </w:rPr>
            </w:r>
            <w:r>
              <w:rPr>
                <w:noProof/>
                <w:webHidden/>
              </w:rPr>
              <w:fldChar w:fldCharType="separate"/>
            </w:r>
            <w:r>
              <w:rPr>
                <w:noProof/>
                <w:webHidden/>
              </w:rPr>
              <w:t>17</w:t>
            </w:r>
            <w:r>
              <w:rPr>
                <w:noProof/>
                <w:webHidden/>
              </w:rPr>
              <w:fldChar w:fldCharType="end"/>
            </w:r>
          </w:hyperlink>
        </w:p>
        <w:p w14:paraId="3AAD459F" w14:textId="1C6F0154" w:rsidR="00C1560F" w:rsidRDefault="00C1560F">
          <w:pPr>
            <w:pStyle w:val="TDC1"/>
            <w:rPr>
              <w:rFonts w:eastAsiaTheme="minorEastAsia"/>
              <w:b w:val="0"/>
              <w:bCs w:val="0"/>
              <w:kern w:val="2"/>
              <w:sz w:val="24"/>
              <w:szCs w:val="24"/>
              <w:lang w:val="es-MX" w:eastAsia="es-MX"/>
              <w14:ligatures w14:val="standardContextual"/>
            </w:rPr>
          </w:pPr>
          <w:hyperlink w:anchor="_Toc230525937" w:history="1">
            <w:r w:rsidRPr="00EE0570">
              <w:rPr>
                <w:rStyle w:val="Hipervnculo"/>
                <w:rFonts w:eastAsia="Times New Roman" w:cs="Times New Roman"/>
              </w:rPr>
              <w:t>CONCLUSIÓN</w:t>
            </w:r>
            <w:r>
              <w:rPr>
                <w:webHidden/>
              </w:rPr>
              <w:tab/>
            </w:r>
            <w:r>
              <w:rPr>
                <w:webHidden/>
              </w:rPr>
              <w:fldChar w:fldCharType="begin"/>
            </w:r>
            <w:r>
              <w:rPr>
                <w:webHidden/>
              </w:rPr>
              <w:instrText xml:space="preserve"> PAGEREF _Toc230525937 \h </w:instrText>
            </w:r>
            <w:r>
              <w:rPr>
                <w:webHidden/>
              </w:rPr>
            </w:r>
            <w:r>
              <w:rPr>
                <w:webHidden/>
              </w:rPr>
              <w:fldChar w:fldCharType="separate"/>
            </w:r>
            <w:r>
              <w:rPr>
                <w:webHidden/>
              </w:rPr>
              <w:t>19</w:t>
            </w:r>
            <w:r>
              <w:rPr>
                <w:webHidden/>
              </w:rPr>
              <w:fldChar w:fldCharType="end"/>
            </w:r>
          </w:hyperlink>
        </w:p>
        <w:p w14:paraId="2454B71C" w14:textId="3C78D4CA" w:rsidR="00C1560F" w:rsidRDefault="00C1560F">
          <w:pPr>
            <w:pStyle w:val="TDC1"/>
            <w:rPr>
              <w:rFonts w:eastAsiaTheme="minorEastAsia"/>
              <w:b w:val="0"/>
              <w:bCs w:val="0"/>
              <w:kern w:val="2"/>
              <w:sz w:val="24"/>
              <w:szCs w:val="24"/>
              <w:lang w:val="es-MX" w:eastAsia="es-MX"/>
              <w14:ligatures w14:val="standardContextual"/>
            </w:rPr>
          </w:pPr>
          <w:hyperlink w:anchor="_Toc230525938" w:history="1">
            <w:r w:rsidRPr="00EE0570">
              <w:rPr>
                <w:rStyle w:val="Hipervnculo"/>
                <w:rFonts w:eastAsia="Times New Roman" w:cs="Times New Roman"/>
              </w:rPr>
              <w:t>REFERENCIAS BIBLIOGRÁFICAS</w:t>
            </w:r>
            <w:r>
              <w:rPr>
                <w:webHidden/>
              </w:rPr>
              <w:tab/>
            </w:r>
            <w:r>
              <w:rPr>
                <w:webHidden/>
              </w:rPr>
              <w:fldChar w:fldCharType="begin"/>
            </w:r>
            <w:r>
              <w:rPr>
                <w:webHidden/>
              </w:rPr>
              <w:instrText xml:space="preserve"> PAGEREF _Toc230525938 \h </w:instrText>
            </w:r>
            <w:r>
              <w:rPr>
                <w:webHidden/>
              </w:rPr>
            </w:r>
            <w:r>
              <w:rPr>
                <w:webHidden/>
              </w:rPr>
              <w:fldChar w:fldCharType="separate"/>
            </w:r>
            <w:r>
              <w:rPr>
                <w:webHidden/>
              </w:rPr>
              <w:t>22</w:t>
            </w:r>
            <w:r>
              <w:rPr>
                <w:webHidden/>
              </w:rPr>
              <w:fldChar w:fldCharType="end"/>
            </w:r>
          </w:hyperlink>
        </w:p>
        <w:p w14:paraId="6CDC2655" w14:textId="6101788C" w:rsidR="004E06D4" w:rsidRPr="00D40A0F" w:rsidRDefault="004E06D4" w:rsidP="004E06D4">
          <w:pPr>
            <w:spacing w:line="360" w:lineRule="auto"/>
            <w:rPr>
              <w:rFonts w:ascii="Times New Roman" w:hAnsi="Times New Roman" w:cs="Times New Roman"/>
              <w:sz w:val="24"/>
              <w:szCs w:val="24"/>
            </w:rPr>
          </w:pPr>
          <w:r w:rsidRPr="00D40A0F">
            <w:rPr>
              <w:rFonts w:ascii="Times New Roman" w:hAnsi="Times New Roman" w:cs="Times New Roman"/>
              <w:b/>
              <w:bCs/>
              <w:sz w:val="24"/>
              <w:szCs w:val="24"/>
              <w:lang w:val="es-ES"/>
            </w:rPr>
            <w:fldChar w:fldCharType="end"/>
          </w:r>
        </w:p>
      </w:sdtContent>
    </w:sdt>
    <w:p w14:paraId="389F1BA4" w14:textId="77777777" w:rsidR="00002EC8" w:rsidRPr="00D40A0F" w:rsidRDefault="00002EC8" w:rsidP="004E06D4">
      <w:pPr>
        <w:spacing w:line="360" w:lineRule="auto"/>
        <w:rPr>
          <w:rFonts w:ascii="Times New Roman" w:hAnsi="Times New Roman" w:cs="Times New Roman"/>
          <w:sz w:val="24"/>
          <w:szCs w:val="24"/>
          <w:lang w:val="es-VE"/>
        </w:rPr>
      </w:pPr>
    </w:p>
    <w:p w14:paraId="4AF43586" w14:textId="77777777" w:rsidR="00002EC8" w:rsidRPr="00D40A0F" w:rsidRDefault="00002EC8" w:rsidP="00002EC8">
      <w:pPr>
        <w:rPr>
          <w:rFonts w:ascii="Times New Roman" w:hAnsi="Times New Roman" w:cs="Times New Roman"/>
          <w:sz w:val="24"/>
          <w:szCs w:val="24"/>
          <w:lang w:val="es-VE"/>
        </w:rPr>
      </w:pPr>
    </w:p>
    <w:p w14:paraId="2D98FA43" w14:textId="17110C41" w:rsidR="004E06D4" w:rsidRPr="00D40A0F" w:rsidRDefault="004E06D4" w:rsidP="00002EC8">
      <w:pPr>
        <w:rPr>
          <w:rFonts w:ascii="Times New Roman" w:hAnsi="Times New Roman" w:cs="Times New Roman"/>
          <w:lang w:val="es-VE"/>
        </w:rPr>
        <w:sectPr w:rsidR="004E06D4" w:rsidRPr="00D40A0F" w:rsidSect="00002EC8">
          <w:pgSz w:w="12240" w:h="15840"/>
          <w:pgMar w:top="1701" w:right="1701" w:bottom="1701" w:left="2268" w:header="720" w:footer="720" w:gutter="0"/>
          <w:cols w:space="720"/>
          <w:docGrid w:linePitch="360"/>
        </w:sectPr>
      </w:pPr>
    </w:p>
    <w:p w14:paraId="7FF26F01" w14:textId="3643EECA" w:rsidR="00D40A0F" w:rsidRPr="00640FAE" w:rsidRDefault="00593611" w:rsidP="00640FAE">
      <w:pPr>
        <w:pStyle w:val="Ttulo1"/>
        <w:spacing w:line="360" w:lineRule="auto"/>
        <w:rPr>
          <w:rFonts w:cs="Times New Roman"/>
          <w:szCs w:val="24"/>
        </w:rPr>
      </w:pPr>
      <w:bookmarkStart w:id="0" w:name="_Toc230525914"/>
      <w:r w:rsidRPr="00640FAE">
        <w:rPr>
          <w:rFonts w:cs="Times New Roman"/>
          <w:szCs w:val="24"/>
        </w:rPr>
        <w:lastRenderedPageBreak/>
        <w:t>INTRODUCCIÓN</w:t>
      </w:r>
      <w:bookmarkEnd w:id="0"/>
    </w:p>
    <w:p w14:paraId="35AA4EC4"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salud constituye uno de los pilares fundamentales del bienestar humano y del desarrollo sostenible de las sociedades. Lejos de ser simplemente la ausencia de enfermedades, la salud representa un estado dinámico de equilibrio físico, mental y social que permite a los individuos desenvolverse plenamente en su entorno. Comprender este concepto en toda su profundidad, así como los mecanismos colectivos e institucionales que lo protegen, es una tarea ineludible para todo ciudadano responsable y, especialmente, para quienes se forman en áreas que inciden directamente en la calidad de vida de las comunidades.</w:t>
      </w:r>
    </w:p>
    <w:p w14:paraId="619C8945"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El presente trabajo de investigación, elaborado en el marco de la asignatura Educación para la Salud de la Universidad Alejandro de Humboldt, tiene como propósito fundamental explorar los conceptos, fundamentos teóricos y aplicaciones prácticas relacionados con la salud y la prevención. Para ello, se abordarán siete grandes ejes temáticos que van desde la construcción histórica del concepto de salud hasta las estrategias contemporáneas para el control de focos de infección.</w:t>
      </w:r>
    </w:p>
    <w:p w14:paraId="4D4B14A0"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En primer lugar, se analizará el concepto de salud y su evolución histórica, trazando el camino desde las concepciones mágico-religiosas de las civilizaciones antiguas hasta la definición integral propuesta por la Organización Mundial de la Salud (OMS) en el siglo XX, y las visiones holísticas que la complementan en el paradigma actual. Este recorrido histórico no es meramente académico: permite entender por qué los sistemas de salud contemporáneos están organizados como están y qué valores los orientan.</w:t>
      </w:r>
    </w:p>
    <w:p w14:paraId="546321EE"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Seguidamente, se abordará el derecho a la salud como un derecho humano fundamental, identificando las principales organizaciones nacionales e internacionales responsables de su garantía y promoción. La existencia de instituciones como la OMS, la Organización Panamericana de la Salud (OPS) y el Ministerio del Poder Popular </w:t>
      </w:r>
      <w:r w:rsidRPr="00640FAE">
        <w:rPr>
          <w:rFonts w:ascii="Times New Roman" w:eastAsia="Times New Roman" w:hAnsi="Times New Roman" w:cs="Times New Roman"/>
          <w:sz w:val="24"/>
          <w:szCs w:val="24"/>
        </w:rPr>
        <w:lastRenderedPageBreak/>
        <w:t>para la Salud en Venezuela evidencia que la protección de la salud es una responsabilidad compartida entre los Estados, la comunidad internacional y los propios ciudadanos.</w:t>
      </w:r>
    </w:p>
    <w:p w14:paraId="7A197F33"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Posteriormente, se examinarán las estrategias y políticas de salud que guían la acción gubernamental e institucional en materia sanitaria, así como los fundamentos de la promoción de la cultura sanitaria, entendida como el conjunto de acciones orientadas a desarrollar en la población conocimientos, actitudes y prácticas que favorezcan estilos de vida saludables.</w:t>
      </w:r>
    </w:p>
    <w:p w14:paraId="3F31BC44"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El trabajo también profundiza en el concepto de prevención y sus distintos niveles —primaria, secundaria y terciaria—, así como en los factores que determinan una prevención integral de las enfermedades. Finalmente, se analizan los focos de infección, sus tipologías y las estrategias sanitarias para su control y eliminación, elementos de especial relevancia en contextos donde las enfermedades infecciosas continúan representando un desafío de salud pública significativo.</w:t>
      </w:r>
    </w:p>
    <w:p w14:paraId="7210568A"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metodología empleada es de carácter documental, basada en la revisión y análisis de fuentes bibliográficas especializadas, documentos oficiales de organismos de salud internacionales y nacionales, así como trabajos académicos de reconocida trayectoria en el campo de la salud pública. El propósito es ofrecer una visión integral, rigurosa y actualizada de los temas abordados, que sirva de base conceptual para la comprensión y aplicación de los principios de la Educación para la Salud.</w:t>
      </w:r>
    </w:p>
    <w:p w14:paraId="0322509D" w14:textId="77777777" w:rsidR="00640FAE" w:rsidRPr="00640FAE" w:rsidRDefault="00640FAE" w:rsidP="00640FAE">
      <w:pPr>
        <w:spacing w:line="360" w:lineRule="auto"/>
        <w:rPr>
          <w:rFonts w:ascii="Times New Roman" w:hAnsi="Times New Roman" w:cs="Times New Roman"/>
          <w:sz w:val="24"/>
          <w:szCs w:val="24"/>
        </w:rPr>
      </w:pPr>
    </w:p>
    <w:p w14:paraId="54D79EE4" w14:textId="77777777" w:rsidR="00640FAE" w:rsidRPr="00640FAE" w:rsidRDefault="00640FAE" w:rsidP="00640FAE">
      <w:pPr>
        <w:spacing w:line="360" w:lineRule="auto"/>
        <w:rPr>
          <w:rFonts w:ascii="Times New Roman" w:hAnsi="Times New Roman" w:cs="Times New Roman"/>
          <w:sz w:val="24"/>
          <w:szCs w:val="24"/>
        </w:rPr>
      </w:pPr>
    </w:p>
    <w:p w14:paraId="34938B20" w14:textId="77777777" w:rsidR="00640FAE" w:rsidRPr="00640FAE" w:rsidRDefault="00640FAE" w:rsidP="00640FAE">
      <w:pPr>
        <w:spacing w:line="360" w:lineRule="auto"/>
        <w:rPr>
          <w:rFonts w:ascii="Times New Roman" w:hAnsi="Times New Roman" w:cs="Times New Roman"/>
          <w:sz w:val="24"/>
          <w:szCs w:val="24"/>
        </w:rPr>
      </w:pPr>
    </w:p>
    <w:p w14:paraId="7FF72523" w14:textId="77777777" w:rsidR="00640FAE" w:rsidRPr="00640FAE" w:rsidRDefault="00640FAE" w:rsidP="00640FAE">
      <w:pPr>
        <w:spacing w:line="360" w:lineRule="auto"/>
        <w:rPr>
          <w:rFonts w:ascii="Times New Roman" w:hAnsi="Times New Roman" w:cs="Times New Roman"/>
          <w:sz w:val="24"/>
          <w:szCs w:val="24"/>
        </w:rPr>
      </w:pPr>
    </w:p>
    <w:p w14:paraId="3856BD92" w14:textId="77777777" w:rsidR="00640FAE" w:rsidRPr="00640FAE" w:rsidRDefault="00640FAE" w:rsidP="00640FAE">
      <w:pPr>
        <w:spacing w:line="360" w:lineRule="auto"/>
        <w:rPr>
          <w:rFonts w:ascii="Times New Roman" w:hAnsi="Times New Roman" w:cs="Times New Roman"/>
          <w:sz w:val="24"/>
          <w:szCs w:val="24"/>
        </w:rPr>
      </w:pPr>
    </w:p>
    <w:p w14:paraId="650218DB" w14:textId="77777777" w:rsidR="00640FAE" w:rsidRPr="00640FAE" w:rsidRDefault="00640FAE" w:rsidP="00640FAE">
      <w:pPr>
        <w:pStyle w:val="Ttulo1"/>
      </w:pPr>
      <w:bookmarkStart w:id="1" w:name="_Toc230525915"/>
      <w:r w:rsidRPr="00640FAE">
        <w:rPr>
          <w:rFonts w:eastAsia="Times New Roman"/>
        </w:rPr>
        <w:lastRenderedPageBreak/>
        <w:t>1. Salud: Concepto y Evolución Histórica</w:t>
      </w:r>
      <w:bookmarkEnd w:id="1"/>
    </w:p>
    <w:p w14:paraId="1C808126" w14:textId="77777777" w:rsidR="00640FAE" w:rsidRPr="00640FAE" w:rsidRDefault="00640FAE" w:rsidP="00640FAE">
      <w:pPr>
        <w:pStyle w:val="Ttulo2"/>
      </w:pPr>
      <w:bookmarkStart w:id="2" w:name="_Toc230525916"/>
      <w:r w:rsidRPr="00640FAE">
        <w:rPr>
          <w:rFonts w:eastAsia="Times New Roman"/>
        </w:rPr>
        <w:t>1.1 Concepto de Salud</w:t>
      </w:r>
      <w:bookmarkEnd w:id="2"/>
    </w:p>
    <w:p w14:paraId="08E73E63" w14:textId="545DE1AF"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La definición más ampliamente citada y reconocida a nivel mundial es la formulada por la Organización Mundial de la Salud (OMS) en su constitución fundacional de 1948, según la cual la salud es "un estado de completo bienestar físico, mental y social, y no solamente la ausencia de afecciones o enfermedades". Esta definición marcó un hito histórico al desplazar la concepción puramente biologicista de la salud, que la reducía a la inexistencia de patología orgánica, hacia una visión integradora que reconoce las dimensiones psicológica y social del ser </w:t>
      </w:r>
      <w:r w:rsidRPr="00640FAE">
        <w:rPr>
          <w:rFonts w:ascii="Times New Roman" w:eastAsia="Times New Roman" w:hAnsi="Times New Roman" w:cs="Times New Roman"/>
          <w:sz w:val="24"/>
          <w:szCs w:val="24"/>
        </w:rPr>
        <w:t>humano (</w:t>
      </w:r>
      <w:r w:rsidRPr="00640FAE">
        <w:rPr>
          <w:rFonts w:ascii="Times New Roman" w:eastAsia="Times New Roman" w:hAnsi="Times New Roman" w:cs="Times New Roman"/>
          <w:sz w:val="24"/>
          <w:szCs w:val="24"/>
        </w:rPr>
        <w:t>OMS, 1948)</w:t>
      </w:r>
    </w:p>
    <w:p w14:paraId="2A511C8E"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Sin embargo, con el transcurrir de las décadas, esta definición también ha recibido críticas. Diversos autores señalan que calificar la salud como un «estado de completo bienestar» resulta utópico e irrealizable para la mayoría de las personas en cualquier momento de su vida. En respuesta a estas críticas, Terris (1980) propuso eliminar el adjetivo «completo» y añadir la capacidad funcional del individuo como dimensión fundamental, definiendo la salud como «un estado de bienestar físico, mental y social, con capacidad de funcionamiento y no únicamente la ausencia de afección o enfermedad».</w:t>
      </w:r>
    </w:p>
    <w:p w14:paraId="04C13D18" w14:textId="658080F1"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Más recientemente, la Carta de Ottawa para la Promoción de la </w:t>
      </w:r>
      <w:r w:rsidRPr="00640FAE">
        <w:rPr>
          <w:rFonts w:ascii="Times New Roman" w:eastAsia="Times New Roman" w:hAnsi="Times New Roman" w:cs="Times New Roman"/>
          <w:sz w:val="24"/>
          <w:szCs w:val="24"/>
        </w:rPr>
        <w:t>Salud (</w:t>
      </w:r>
      <w:r w:rsidRPr="00640FAE">
        <w:rPr>
          <w:rFonts w:ascii="Times New Roman" w:eastAsia="Times New Roman" w:hAnsi="Times New Roman" w:cs="Times New Roman"/>
          <w:sz w:val="24"/>
          <w:szCs w:val="24"/>
        </w:rPr>
        <w:t>OPS/OMS, 1986) amplió el concepto señalando que la salud es un recurso para la vida cotidiana y no el objetivo de vivir. Esta perspectiva enfatiza los determinantes sociales de la salud, tales como la paz, la educación, la vivienda, la alimentación, la renta, el ecosistema estable, los recursos sostenibles, la justicia social y la equidad, como condiciones y recursos fundamentales para alcanzarla.</w:t>
      </w:r>
    </w:p>
    <w:p w14:paraId="04517C77"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En síntesis, el concepto de salud es multidimensional, dinámico y contextualmente situado. No puede comprenderse al margen de las condiciones sociales, económicas, culturales y ambientales en que viven los individuos y las </w:t>
      </w:r>
      <w:r w:rsidRPr="00640FAE">
        <w:rPr>
          <w:rFonts w:ascii="Times New Roman" w:eastAsia="Times New Roman" w:hAnsi="Times New Roman" w:cs="Times New Roman"/>
          <w:sz w:val="24"/>
          <w:szCs w:val="24"/>
        </w:rPr>
        <w:lastRenderedPageBreak/>
        <w:t>comunidades, lo que implica que su promoción y protección requieren de enfoques igualmente integrales.</w:t>
      </w:r>
    </w:p>
    <w:p w14:paraId="4520A44B" w14:textId="77777777" w:rsidR="00640FAE" w:rsidRPr="00640FAE" w:rsidRDefault="00640FAE" w:rsidP="00640FAE">
      <w:pPr>
        <w:pStyle w:val="Ttulo2"/>
      </w:pPr>
      <w:bookmarkStart w:id="3" w:name="_Toc230525917"/>
      <w:r w:rsidRPr="00640FAE">
        <w:rPr>
          <w:rFonts w:eastAsia="Times New Roman"/>
        </w:rPr>
        <w:t>1.2 Evolución Histórica del Concepto de Salud</w:t>
      </w:r>
      <w:bookmarkEnd w:id="3"/>
    </w:p>
    <w:p w14:paraId="104B9A87"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comprensión de la salud ha experimentado transformaciones radicales a lo largo de la historia de la humanidad, transitando por distintos paradigmas que reflejan los sistemas de creencias, los avances científicos y las estructuras sociales de cada época.</w:t>
      </w:r>
    </w:p>
    <w:p w14:paraId="3F73F93F" w14:textId="56B3EDD0"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En las civilizaciones primitivas y antiguas, la enfermedad era interpretada como un castigo divino o la manifestación de fuerzas sobrenaturales. La salud era concebida como un estado de gracia o armonía con los dioses, y su restauración dependía de rituales, plegarias y la intervención de chamanes o sacerdotes-médicos. Esta visión mágico-religiosa dominó durante milenios y dejó profundas huellas en diversas </w:t>
      </w:r>
      <w:r w:rsidRPr="00640FAE">
        <w:rPr>
          <w:rFonts w:ascii="Times New Roman" w:eastAsia="Times New Roman" w:hAnsi="Times New Roman" w:cs="Times New Roman"/>
          <w:sz w:val="24"/>
          <w:szCs w:val="24"/>
        </w:rPr>
        <w:t>culturas (</w:t>
      </w:r>
      <w:r w:rsidRPr="00640FAE">
        <w:rPr>
          <w:rFonts w:ascii="Times New Roman" w:eastAsia="Times New Roman" w:hAnsi="Times New Roman" w:cs="Times New Roman"/>
          <w:sz w:val="24"/>
          <w:szCs w:val="24"/>
        </w:rPr>
        <w:t>Rosen, 1985)</w:t>
      </w:r>
    </w:p>
    <w:p w14:paraId="5F2DB54F"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En la Grecia clásica, Hipócrates de Cos (460-370 a.C.) revolucionó la medicina al introducir una concepción naturalista de la enfermedad. Para él, la salud era el resultado del equilibrio entre los cuatro humores corporales —sangre, flema, bilis amarilla y bilis negra— y dependía de la influencia del ambiente, el clima, el agua, el lugar y los hábitos de vida. Este enfoque marcó el inicio de una medicina basada en la observación y el razonamiento, desvinculándose de las explicaciones sobrenaturales.</w:t>
      </w:r>
    </w:p>
    <w:p w14:paraId="77918637"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Durante la Edad Media, el predominio de la cosmovisión cristiana en Occidente devolvió a la enfermedad una connotación moral y religiosa. El cuerpo era considerado un receptáculo del alma, y la enfermedad podía ser interpretada como prueba divina o consecuencia del pecado. Paralelamente, el mundo árabe conservó y enriqueció el conocimiento hipocrático: Avicena (980-1037 d.C.), en su monumental obra El Canon de la Medicina, sistematizó el conocimiento médico de la época e incorporó conceptos sobre la higiene, la dieta y la prevención.</w:t>
      </w:r>
    </w:p>
    <w:p w14:paraId="24D6E91D"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lastRenderedPageBreak/>
        <w:t>El Renacimiento trajo consigo el redescubrimiento del cuerpo humano como objeto de estudio científico. Los trabajos de Vesalio en anatomía y Harvey en fisiología sentaron las bases de la medicina moderna. El siglo XIX fue especialmente fecundo: Louis Pasteur y Robert Koch establecieron la teoría microbiana de la enfermedad, demostrando que determinadas enfermedades eran causadas por microorganismos específicos. Este descubrimiento transformó radicalmente la práctica médica y sanitaria, dando origen a la bacteriología y a las primeras medidas sistemáticas de salud pública.</w:t>
      </w:r>
    </w:p>
    <w:p w14:paraId="67C27B00" w14:textId="4FB71B1B"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El siglo XX fue testigo de la consolidación del modelo biopsicosocial de la salud, desarrollado por el psiquiatra George Engel en 1977, quien argumentó que la enfermedad no puede explicarse únicamente en términos biológicos, sino que requiere considerar también los factores psicológicos y sociales. Esta visión integral es la que fundamenta el concepto moderno de salud y orienta las políticas sanitarias contemporáneas.</w:t>
      </w:r>
    </w:p>
    <w:p w14:paraId="2AF58BFD" w14:textId="77777777" w:rsidR="00640FAE" w:rsidRPr="00640FAE" w:rsidRDefault="00640FAE" w:rsidP="00640FAE">
      <w:pPr>
        <w:pStyle w:val="Ttulo1"/>
      </w:pPr>
      <w:bookmarkStart w:id="4" w:name="_Toc230525918"/>
      <w:r w:rsidRPr="00640FAE">
        <w:rPr>
          <w:rFonts w:eastAsia="Times New Roman"/>
        </w:rPr>
        <w:t>2. Derecho a la Salud: Organizaciones Nacionales e Internacionales</w:t>
      </w:r>
      <w:bookmarkEnd w:id="4"/>
    </w:p>
    <w:p w14:paraId="29082C59" w14:textId="77777777" w:rsidR="00640FAE" w:rsidRPr="00640FAE" w:rsidRDefault="00640FAE" w:rsidP="00640FAE">
      <w:pPr>
        <w:pStyle w:val="Ttulo2"/>
      </w:pPr>
      <w:bookmarkStart w:id="5" w:name="_Toc230525919"/>
      <w:r w:rsidRPr="00640FAE">
        <w:rPr>
          <w:rFonts w:eastAsia="Times New Roman"/>
        </w:rPr>
        <w:t>2.1 El Derecho a la Salud como Derecho Humano Fundamental</w:t>
      </w:r>
      <w:bookmarkEnd w:id="5"/>
    </w:p>
    <w:p w14:paraId="399A1817"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El derecho a la salud fue reconocido por primera vez en el ámbito internacional en la Constitución de la OMS (1948) y posteriormente consagrado en la Declaración Universal de Derechos Humanos del mismo año, cuyo artículo 25 establece que toda persona tiene derecho a un nivel de vida adecuado que le asegure, así como a su familia, la salud y el bienestar. Este reconocimiento fue ampliado y especificado por el Pacto Internacional de Derechos Económicos, Sociales y Culturales de 1966, cuyo artículo 12 obliga a los Estados parte a adoptar medidas para garantizar el derecho al disfrute del más alto nivel posible de salud física y mental  (ONU, 1966)</w:t>
      </w:r>
    </w:p>
    <w:p w14:paraId="679B0850"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En Venezuela, la Constitución de la República Bolivariana de Venezuela de 1999 consagra el derecho a la salud en su artículo 83, estableciendo que la salud es un </w:t>
      </w:r>
      <w:r w:rsidRPr="00640FAE">
        <w:rPr>
          <w:rFonts w:ascii="Times New Roman" w:eastAsia="Times New Roman" w:hAnsi="Times New Roman" w:cs="Times New Roman"/>
          <w:sz w:val="24"/>
          <w:szCs w:val="24"/>
        </w:rPr>
        <w:lastRenderedPageBreak/>
        <w:t>derecho social fundamental, obligación del Estado, que lo garantizará como parte del derecho a la vida. Asimismo, el artículo 84 establece que el Estado creará, ejercerá la rectoría y gestionará un sistema público nacional de salud, de carácter intersectorial, descentralizado y participativo.</w:t>
      </w:r>
    </w:p>
    <w:p w14:paraId="419ADCB9"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El enfoque del derecho a la salud implica que este debe ser universal, equitativo, accesible, aceptable y de calidad. No basta con la existencia formal del derecho en los textos legales; es necesario que se garantice su ejercicio efectivo para todos los ciudadanos, sin discriminación por razones de género, edad, etnia, condición económica o lugar de residencia.</w:t>
      </w:r>
    </w:p>
    <w:p w14:paraId="6D12821E" w14:textId="77777777" w:rsidR="00640FAE" w:rsidRPr="00640FAE" w:rsidRDefault="00640FAE" w:rsidP="00640FAE">
      <w:pPr>
        <w:pStyle w:val="Ttulo2"/>
      </w:pPr>
      <w:bookmarkStart w:id="6" w:name="_Toc230525920"/>
      <w:r w:rsidRPr="00640FAE">
        <w:rPr>
          <w:rFonts w:eastAsia="Times New Roman"/>
        </w:rPr>
        <w:t>2.2 Organizaciones Internacionales de Salud</w:t>
      </w:r>
      <w:bookmarkEnd w:id="6"/>
    </w:p>
    <w:p w14:paraId="7A169BBA"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Organización Mundial de la Salud (OMS), fundada en 1948 como agencia especializada de las Naciones Unidas, es la principal autoridad directiva y coordinadora en el ámbito de la salud internacional. Su mandato es lograr el grado más alto posible de salud para todos los pueblos. Entre sus funciones destacan: proporcionar liderazgo en temas críticos de salud, establecer normas y estándares internacionales, articular políticas basadas en evidencia, prestar apoyo técnico a los países y vigilar y evaluar las tendencias de salud a nivel mundial  (OMS, 2023)</w:t>
      </w:r>
    </w:p>
    <w:p w14:paraId="50611EE3"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Organización Panamericana de la Salud (OPS), fundada en 1902 y que actúa como oficina regional de la OMS para las Américas, trabaja con los países de la región para mejorar y proteger la salud de su población. Sus áreas de acción incluyen el fortalecimiento de los sistemas de salud, la vigilancia epidemiológica, la prevención y control de enfermedades transmisibles y no transmisibles, y la respuesta a emergencias sanitarias.</w:t>
      </w:r>
    </w:p>
    <w:p w14:paraId="38EACF18"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El Fondo de las Naciones Unidas para la Infancia (UNICEF) trabaja en más de 190 países para proteger los derechos de la infancia, con especial atención a la salud materno-infantil, la nutrición, el agua y saneamiento, y la educación. Por su parte, el Programa de las Naciones Unidas para el Desarrollo (PNUD) incluye la salud como </w:t>
      </w:r>
      <w:r w:rsidRPr="00640FAE">
        <w:rPr>
          <w:rFonts w:ascii="Times New Roman" w:eastAsia="Times New Roman" w:hAnsi="Times New Roman" w:cs="Times New Roman"/>
          <w:sz w:val="24"/>
          <w:szCs w:val="24"/>
        </w:rPr>
        <w:lastRenderedPageBreak/>
        <w:t>componente central del Índice de Desarrollo Humano y trabaja para integrar los determinantes sociales de la salud en las políticas de desarrollo.</w:t>
      </w:r>
    </w:p>
    <w:p w14:paraId="2317A363"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El Banco Mundial y el Banco Interamericano de Desarrollo (BID) también tienen roles significativos en el financiamiento de programas de salud en países en desarrollo, especialmente en infraestructura sanitaria, fortalecimiento de sistemas de salud y programas de salud preventiva.</w:t>
      </w:r>
    </w:p>
    <w:p w14:paraId="5CE3D45F" w14:textId="77777777" w:rsidR="00640FAE" w:rsidRPr="00640FAE" w:rsidRDefault="00640FAE" w:rsidP="00640FAE">
      <w:pPr>
        <w:pStyle w:val="Ttulo2"/>
      </w:pPr>
      <w:bookmarkStart w:id="7" w:name="_Toc230525921"/>
      <w:r w:rsidRPr="00640FAE">
        <w:rPr>
          <w:rFonts w:eastAsia="Times New Roman"/>
        </w:rPr>
        <w:t>2.3 Organizaciones Nacionales de Salud en Venezuela</w:t>
      </w:r>
      <w:bookmarkEnd w:id="7"/>
    </w:p>
    <w:p w14:paraId="2B571E53"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En Venezuela, el sistema de salud está organizado bajo la rectoría del Ministerio del Poder Popular para la Salud (MPPS), que tiene la responsabilidad de diseñar, implementar y supervisar las políticas sanitarias nacionales. El MPPS coordina una red de establecimientos de salud que incluye hospitales generales y especializados, ambulatorios urbanos y rurales, maternidades y centros de diagnóstico integral.</w:t>
      </w:r>
    </w:p>
    <w:p w14:paraId="48331983"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Misión Barrio Adentro, creada en 2003, constituyó una iniciativa de salud pública de gran alcance que buscó llevar atención médica primaria a las comunidades más vulnerables del país, especialmente en los barrios populares y zonas rurales. Su estructura contempla cuatro niveles de atención que van desde los consultorios populares hasta centros de alta tecnología.</w:t>
      </w:r>
    </w:p>
    <w:p w14:paraId="6B669BBE"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El Instituto Venezolano de los Seguros Sociales (IVSS) es otro actor fundamental del sistema de salud venezolano, responsable de brindar atención médica y prestaciones económicas a los trabajadores formales y sus beneficiarios. Complementariamente, el Instituto de Previsión y Asistencia Social del Ministerio de Educación (IPASME) y las distintas fuerzas armadas cuentan con sus propios sistemas de atención médica para sus afiliados.</w:t>
      </w:r>
    </w:p>
    <w:p w14:paraId="5A71AA1A" w14:textId="77777777" w:rsidR="00640FAE" w:rsidRPr="00640FAE" w:rsidRDefault="00640FAE" w:rsidP="00640FAE">
      <w:pPr>
        <w:spacing w:line="360" w:lineRule="auto"/>
        <w:rPr>
          <w:rFonts w:ascii="Times New Roman" w:hAnsi="Times New Roman" w:cs="Times New Roman"/>
          <w:sz w:val="24"/>
          <w:szCs w:val="24"/>
        </w:rPr>
      </w:pPr>
    </w:p>
    <w:p w14:paraId="55979ECE" w14:textId="77777777" w:rsidR="00640FAE" w:rsidRPr="00640FAE" w:rsidRDefault="00640FAE" w:rsidP="00640FAE">
      <w:pPr>
        <w:pStyle w:val="Ttulo1"/>
      </w:pPr>
      <w:bookmarkStart w:id="8" w:name="_Toc230525922"/>
      <w:r w:rsidRPr="00640FAE">
        <w:rPr>
          <w:rFonts w:eastAsia="Times New Roman"/>
        </w:rPr>
        <w:lastRenderedPageBreak/>
        <w:t>3. Estrategias y Políticas de Salud</w:t>
      </w:r>
      <w:bookmarkEnd w:id="8"/>
    </w:p>
    <w:p w14:paraId="34B42C3D" w14:textId="77777777" w:rsidR="00640FAE" w:rsidRPr="00640FAE" w:rsidRDefault="00640FAE" w:rsidP="00640FAE">
      <w:pPr>
        <w:pStyle w:val="Ttulo2"/>
      </w:pPr>
      <w:bookmarkStart w:id="9" w:name="_Toc230525923"/>
      <w:r w:rsidRPr="00640FAE">
        <w:rPr>
          <w:rFonts w:eastAsia="Times New Roman"/>
        </w:rPr>
        <w:t>3.1 Definición de Política de Salud</w:t>
      </w:r>
      <w:bookmarkEnd w:id="9"/>
    </w:p>
    <w:p w14:paraId="7F11ED1C"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Las políticas de salud son decisiones, planes y acciones adoptadas por los gobiernos para alcanzar metas específicas de salud dentro de una sociedad. Según la OMS  (2016), una política de salud bien elaborada define una visión para el futuro que a su vez ayuda a establecer objetivos y puntos de referencia, con el propósito de alcanzar metas de salud definidas para una población determinada. Las políticas de salud cubren una amplia gama de temas, desde el financiamiento de los sistemas de salud hasta los recursos humanos, la provisión de servicios, el acceso a medicamentos y las estrategias de prevención de enfermedades.</w:t>
      </w:r>
    </w:p>
    <w:p w14:paraId="6DC239EA"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Las políticas de salud eficaces se caracterizan por estar basadas en evidencia científica, ser participativas e inclusivas, contar con financiamiento sostenible, tener metas medibles y plazos definidos, y ser coherentes con otras políticas sectoriales (educación, vivienda, ambiente, trabajo). Su formulación debe involucrar a múltiples actores: el Estado, los profesionales de la salud, la academia, la sociedad civil y los propios ciudadanos.</w:t>
      </w:r>
    </w:p>
    <w:p w14:paraId="4F34B1D4" w14:textId="77777777" w:rsidR="00640FAE" w:rsidRPr="00640FAE" w:rsidRDefault="00640FAE" w:rsidP="00640FAE">
      <w:pPr>
        <w:pStyle w:val="Ttulo2"/>
      </w:pPr>
      <w:bookmarkStart w:id="10" w:name="_Toc230525924"/>
      <w:r w:rsidRPr="00640FAE">
        <w:rPr>
          <w:rFonts w:eastAsia="Times New Roman"/>
        </w:rPr>
        <w:t>3.2 Principales Estrategias de Salud</w:t>
      </w:r>
      <w:bookmarkEnd w:id="10"/>
    </w:p>
    <w:p w14:paraId="3396FA8B"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Atención Primaria de Salud (APS) es la estrategia más importante y ampliamente adoptada a nivel mundial para lograr la cobertura universal de salud. Proclamada en la Declaración de Alma-Ata de 1978, la APS se define como la asistencia sanitaria esencial, basada en métodos y tecnologías prácticos, científicamente fundados y socialmente aceptables, puesta al alcance de todos los individuos y familias de la comunidad. Comprende la educación para la salud, la nutrición, el saneamiento básico, la atención materno-infantil, la inmunización, la prevención de enfermedades endémicas, el tratamiento de enfermedades comunes y el suministro de medicamentos esenciales.</w:t>
      </w:r>
    </w:p>
    <w:p w14:paraId="421668E2"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lastRenderedPageBreak/>
        <w:t>La estrategia de Ciudades Saludables, promovida por la OMS desde 1986, busca desarrollar entornos físicos, sociales y económicos que favorezcan la salud y el bienestar de sus habitantes. Reconoce que las condiciones en que las personas viven, trabajan, estudian y envejecen —los llamados determinantes sociales de la salud— tienen un impacto profundo en su estado de salud  (Hancock y Duhl, 1986)</w:t>
      </w:r>
    </w:p>
    <w:p w14:paraId="70C27D64"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Los Objetivos de Desarrollo Sostenible (ODS), adoptados por la ONU en 2015 como parte de la Agenda 2030, incluyen el ODS 3, cuya meta es «garantizar una vida sana y promover el bienestar para todos en todas las edades». Este objetivo contempla metas específicas sobre mortalidad materna e infantil, enfermedades transmisibles y no transmisibles, salud mental, abuso de sustancias, accidentes de tránsito, salud sexual y reproductiva, cobertura sanitaria universal y capacidades de respuesta a emergencias sanitarias.</w:t>
      </w:r>
    </w:p>
    <w:p w14:paraId="7051569E"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vigilancia epidemiológica es otra estrategia fundamental, definida como la recolección sistemática, análisis e interpretación de datos de salud para la planificación, implementación y evaluación de prácticas de salud pública. Su objetivo es detectar cambios en los patrones de enfermedad para permitir una respuesta oportuna y efectiva por parte de los sistemas de salud.</w:t>
      </w:r>
    </w:p>
    <w:p w14:paraId="7B74DDD0" w14:textId="77777777" w:rsidR="00640FAE" w:rsidRPr="00640FAE" w:rsidRDefault="00640FAE" w:rsidP="00640FAE">
      <w:pPr>
        <w:pStyle w:val="Ttulo2"/>
      </w:pPr>
      <w:bookmarkStart w:id="11" w:name="_Toc230525925"/>
      <w:r w:rsidRPr="00640FAE">
        <w:rPr>
          <w:rFonts w:eastAsia="Times New Roman"/>
        </w:rPr>
        <w:t>3.3 Políticas de Salud en Venezuela</w:t>
      </w:r>
      <w:bookmarkEnd w:id="11"/>
    </w:p>
    <w:p w14:paraId="4D6E5C7D"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Venezuela ha desarrollado diversas políticas de salud a lo largo de su historia republicana. En el siglo XX destacan las campañas de saneamiento ambiental, la creación del Ministerio de Sanidad y Asistencia Social en 1936, los programas de vacunación masiva y la construcción de una red de hospitales públicos que cubrió gran parte del territorio nacional.</w:t>
      </w:r>
    </w:p>
    <w:p w14:paraId="0EE3CA10" w14:textId="1FAE067D"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En el período contemporáneo, las políticas de salud se han orientado hacia el fortalecimiento de la atención primaria, la universalidad del acceso, la intersectorialidad y la participación comunitaria. El Plan de Salud de la Nación ha contemplado la expansión de la red de establecimientos de salud, el incremento del </w:t>
      </w:r>
      <w:r w:rsidRPr="00640FAE">
        <w:rPr>
          <w:rFonts w:ascii="Times New Roman" w:eastAsia="Times New Roman" w:hAnsi="Times New Roman" w:cs="Times New Roman"/>
          <w:sz w:val="24"/>
          <w:szCs w:val="24"/>
        </w:rPr>
        <w:lastRenderedPageBreak/>
        <w:t>personal médico y paramédico, la dotación de equipos y medicamentos, y el desarrollo de programas específicos para la atención de enfermedades prioritarias como el paludismo, la tuberculosis, el dengue, la diabetes y la hipertensión arterial.</w:t>
      </w:r>
    </w:p>
    <w:p w14:paraId="53CB8B9F" w14:textId="77777777" w:rsidR="00640FAE" w:rsidRPr="00640FAE" w:rsidRDefault="00640FAE" w:rsidP="00640FAE">
      <w:pPr>
        <w:pStyle w:val="Ttulo1"/>
      </w:pPr>
      <w:bookmarkStart w:id="12" w:name="_Toc230525926"/>
      <w:r w:rsidRPr="00640FAE">
        <w:rPr>
          <w:rFonts w:eastAsia="Times New Roman"/>
        </w:rPr>
        <w:t>4. Promoción de la Cultura Sanitaria</w:t>
      </w:r>
      <w:bookmarkEnd w:id="12"/>
    </w:p>
    <w:p w14:paraId="42B83B5D" w14:textId="77777777" w:rsidR="00640FAE" w:rsidRPr="00640FAE" w:rsidRDefault="00640FAE" w:rsidP="00640FAE">
      <w:pPr>
        <w:pStyle w:val="Ttulo2"/>
      </w:pPr>
      <w:bookmarkStart w:id="13" w:name="_Toc230525927"/>
      <w:r w:rsidRPr="00640FAE">
        <w:rPr>
          <w:rFonts w:eastAsia="Times New Roman"/>
        </w:rPr>
        <w:t>4.1 Concepto de Promoción de la Salud</w:t>
      </w:r>
      <w:bookmarkEnd w:id="13"/>
    </w:p>
    <w:p w14:paraId="30CA2824"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Carta de Ottawa para la Promoción de la Salud  (OPS/OMS, 1986) define la promoción de la salud como el proceso que permite a las personas incrementar el control sobre su salud para mejorarla. Este concepto trasciende la esfera individual para incluir las condiciones sociales, económicas, políticas y ambientales que determinan la salud de las poblaciones.</w:t>
      </w:r>
    </w:p>
    <w:p w14:paraId="5672C03F"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promoción de la salud actúa sobre los determinantes de la salud y persigue lograr la equidad en materia sanitaria. Involucra a la población en su conjunto en el contexto de su vida cotidiana, en lugar de dirigirse únicamente a las personas que están en riesgo de enfermedades específicas. Sus cinco áreas de acción son: el establecimiento de una política pública saludable, la creación de ambientes que apoyen la salud, el fortalecimiento de la acción comunitaria, el desarrollo de las aptitudes personales, y la reorientación de los servicios sanitarios.</w:t>
      </w:r>
    </w:p>
    <w:p w14:paraId="0B46228E"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cultura sanitaria, en este contexto, puede definirse como el conjunto de conocimientos, actitudes, valores y prácticas relacionados con la salud que son compartidos y transmitidos por los miembros de una sociedad  (Nutbeam, 1998). Una cultura sanitaria sólida favorece que las personas tomen decisiones informadas sobre su salud, adopten estilos de vida saludables y participen activamente en las decisiones que afectan su bienestar colectivo.</w:t>
      </w:r>
    </w:p>
    <w:p w14:paraId="1CA86A1E" w14:textId="77777777" w:rsidR="00640FAE" w:rsidRPr="00640FAE" w:rsidRDefault="00640FAE" w:rsidP="00640FAE">
      <w:pPr>
        <w:pStyle w:val="Ttulo2"/>
      </w:pPr>
      <w:bookmarkStart w:id="14" w:name="_Toc230525928"/>
      <w:r w:rsidRPr="00640FAE">
        <w:rPr>
          <w:rFonts w:eastAsia="Times New Roman"/>
        </w:rPr>
        <w:lastRenderedPageBreak/>
        <w:t>4.2 Estrategias de Promoción de la Cultura Sanitaria</w:t>
      </w:r>
      <w:bookmarkEnd w:id="14"/>
    </w:p>
    <w:p w14:paraId="03FBD426"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educación para la salud es el instrumento primordial de la promoción de la cultura sanitaria. Abarca las oportunidades de aprendizaje creadas conscientemente que suponen una forma de comunicación destinada a mejorar la alfabetización sanitaria, incluida la mejora del conocimiento de la población en relación con la salud, y el desarrollo de habilidades personales que conduzcan a la salud individual y de la comunidad. Esta educación debe desarrollarse en múltiples escenarios: la familia, la escuela, el trabajo, la comunidad y los medios de comunicación.</w:t>
      </w:r>
    </w:p>
    <w:p w14:paraId="6F0661B6"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comunicación en salud es otra estrategia esencial, que incluye el diseño y difusión de mensajes e información a través de diferentes canales —medios masivos, redes sociales, comunicación interpersonal— para informar e influir en las decisiones individuales y colectivas que mejoran la salud. Una comunicación efectiva en salud debe ser culturalmente pertinente, comprensible para sus destinatarios, basada en evidencia y motivadora del cambio conductual.</w:t>
      </w:r>
    </w:p>
    <w:p w14:paraId="30879786" w14:textId="73F2CF72"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abogacía en salud (advocacy) busca influir en los tomadores de decisiones políticas para que implementen políticas públicas favorables a la salud. Incluye actividades de sensibilización, movilización social, negociación y participación ciudadana orientadas a crear entornos que faciliten las elecciones saludables. El empoderamiento comunitario es igualmente fundamental: comunidades que comprenden sus determinantes de salud y cuentan con las herramientas para actuar sobre ellos pueden transformar sus condiciones de vida de manera sostenible.</w:t>
      </w:r>
    </w:p>
    <w:p w14:paraId="5CCCC565" w14:textId="77777777" w:rsidR="00640FAE" w:rsidRPr="00640FAE" w:rsidRDefault="00640FAE" w:rsidP="00640FAE">
      <w:pPr>
        <w:pStyle w:val="Ttulo1"/>
      </w:pPr>
      <w:bookmarkStart w:id="15" w:name="_Toc230525929"/>
      <w:r w:rsidRPr="00640FAE">
        <w:rPr>
          <w:rFonts w:eastAsia="Times New Roman"/>
        </w:rPr>
        <w:t>5. Prevención: Concepto y Niveles</w:t>
      </w:r>
      <w:bookmarkEnd w:id="15"/>
    </w:p>
    <w:p w14:paraId="36BDAC1A" w14:textId="77777777" w:rsidR="00640FAE" w:rsidRPr="00640FAE" w:rsidRDefault="00640FAE" w:rsidP="00640FAE">
      <w:pPr>
        <w:pStyle w:val="Ttulo2"/>
      </w:pPr>
      <w:bookmarkStart w:id="16" w:name="_Toc230525930"/>
      <w:r w:rsidRPr="00640FAE">
        <w:rPr>
          <w:rFonts w:eastAsia="Times New Roman"/>
        </w:rPr>
        <w:t>5.1 Concepto de Prevención</w:t>
      </w:r>
      <w:bookmarkEnd w:id="16"/>
    </w:p>
    <w:p w14:paraId="25803751"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La prevención en salud puede definirse como el conjunto de medidas destinadas a evitar la aparición de enfermedades o lesiones, reducir los factores de riesgo, limitar el progreso y las secuelas de las enfermedades una vez establecidas, o reducir las </w:t>
      </w:r>
      <w:r w:rsidRPr="00640FAE">
        <w:rPr>
          <w:rFonts w:ascii="Times New Roman" w:eastAsia="Times New Roman" w:hAnsi="Times New Roman" w:cs="Times New Roman"/>
          <w:sz w:val="24"/>
          <w:szCs w:val="24"/>
        </w:rPr>
        <w:lastRenderedPageBreak/>
        <w:t>consecuencias a largo plazo de las enfermedades  (Álvarez Alva, 2002). Es, en esencia, una actitud proactiva ante la enfermedad que privilegia la anticipación sobre la reacción.</w:t>
      </w:r>
    </w:p>
    <w:p w14:paraId="42D6D80C"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prevención se diferencia de la curación en que no actúa sobre la enfermedad una vez instalada, sino antes de su aparición o en sus etapas más tempranas. Se diferencia también de la promoción de la salud en que esta última busca fortalecer los recursos y capacidades de las personas y comunidades para mantener y mejorar su salud, mientras que la prevención se orienta específicamente a evitar enfermedades concretas.</w:t>
      </w:r>
    </w:p>
    <w:p w14:paraId="472B11FC"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medicina preventiva, como disciplina, surge formalmente en el siglo XIX con los avances de la epidemiología y la bacteriología, aunque sus raíces se encuentran en las prácticas de higiene pública de civilizaciones antiguas. En el siglo XX, el reconocimiento de los factores de riesgo asociados a enfermedades crónicas no transmisibles —como el tabaquismo, la alimentación inadecuada y el sedentarismo— amplió enormemente el campo de acción de la prevención, extendiéndola más allá de las enfermedades infecciosas.</w:t>
      </w:r>
    </w:p>
    <w:p w14:paraId="5A5DD147" w14:textId="77777777" w:rsidR="00640FAE" w:rsidRPr="00640FAE" w:rsidRDefault="00640FAE" w:rsidP="00640FAE">
      <w:pPr>
        <w:pStyle w:val="Ttulo2"/>
      </w:pPr>
      <w:bookmarkStart w:id="17" w:name="_Toc230525931"/>
      <w:r w:rsidRPr="00640FAE">
        <w:rPr>
          <w:rFonts w:eastAsia="Times New Roman"/>
        </w:rPr>
        <w:t>5.2 Niveles de Prevención</w:t>
      </w:r>
      <w:bookmarkEnd w:id="17"/>
    </w:p>
    <w:p w14:paraId="5C327DBD"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clasificación de los niveles de prevención fue propuesta originalmente por Leavell y Clark en 1965, quienes identificaron tres niveles correspondientes a distintos momentos en la historia natural de la enfermedad: prevención primaria, secundaria y terciaria. Esta clasificación sigue siendo el marco conceptual de referencia en salud pública  (Leavell y Clark, 1965)</w:t>
      </w:r>
    </w:p>
    <w:p w14:paraId="180E998C"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La Prevención Primaria actúa en el período prepatogénico, es decir, antes de que la enfermedad se haya iniciado. Su objetivo es reducir la incidencia de la enfermedad en la población, eliminando o modificando los factores de riesgo. Incluye dos tipos de acciones: la promoción de la salud (mejora de las condiciones de vida, educación para la salud, nutrición adecuada) y la protección específica (vacunación, </w:t>
      </w:r>
      <w:r w:rsidRPr="00640FAE">
        <w:rPr>
          <w:rFonts w:ascii="Times New Roman" w:eastAsia="Times New Roman" w:hAnsi="Times New Roman" w:cs="Times New Roman"/>
          <w:sz w:val="24"/>
          <w:szCs w:val="24"/>
        </w:rPr>
        <w:lastRenderedPageBreak/>
        <w:t>quimioprofilaxis, uso de equipos de protección personal, control de vectores). La prevención primaria es la más eficiente en términos de costo-beneficio, pues evita el sufrimiento y los costos asociados al tratamiento de enfermedades  (García García, 2011)</w:t>
      </w:r>
    </w:p>
    <w:p w14:paraId="03255A31"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Prevención Secundaria actúa en el período patogénico temprano, cuando la enfermedad ya ha comenzado su proceso pero aún no produce síntomas evidentes o se encuentra en sus etapas iniciales. Su objetivo es reducir la prevalencia de la enfermedad mediante el diagnóstico precoz y el tratamiento oportuno. Los principales instrumentos de la prevención secundaria son los programas de tamizaje o detección masiva (screening), los exámenes médicos periódicos y la identificación de contactos de casos confirmados. El diagnóstico precoz del cáncer de mama mediante mamografía o del cáncer de cuello uterino mediante citología (Papanicolaou) son ejemplos paradigmáticos de prevención secundaria.</w:t>
      </w:r>
    </w:p>
    <w:p w14:paraId="1DDB120E" w14:textId="1DB80C50"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Prevención Terciaria actúa cuando la enfermedad ya está establecida y ha producido daño en el organismo. Su objetivo es reducir las secuelas, la discapacidad y la dependencia causadas por la enfermedad, mediante programas de rehabilitación física, psicológica y social. Busca restaurar la función y mejorar la calidad de vida de las personas enfermas o con discapacidades, facilitando su reintegración a la vida familiar, laboral y social. Algunos autores añaden un cuarto nivel de prevención —la prevención cuaternaria— orientada a evitar la sobremedicación y las intervenciones médicas innecesarias o dañinas.</w:t>
      </w:r>
    </w:p>
    <w:p w14:paraId="78506120" w14:textId="77777777" w:rsidR="00640FAE" w:rsidRPr="00640FAE" w:rsidRDefault="00640FAE" w:rsidP="00640FAE">
      <w:pPr>
        <w:pStyle w:val="Ttulo1"/>
      </w:pPr>
      <w:bookmarkStart w:id="18" w:name="_Toc230525932"/>
      <w:r w:rsidRPr="00640FAE">
        <w:rPr>
          <w:rFonts w:eastAsia="Times New Roman"/>
        </w:rPr>
        <w:t>6. Factores de Prevención Integral</w:t>
      </w:r>
      <w:bookmarkEnd w:id="18"/>
    </w:p>
    <w:p w14:paraId="3EAAF1C0"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La prevención integral parte del reconocimiento de que la salud y la enfermedad son fenómenos multifactoriales, determinados por la interacción de factores biológicos, psicológicos, sociales, económicos y ambientales. Por ello, una prevención </w:t>
      </w:r>
      <w:r w:rsidRPr="00640FAE">
        <w:rPr>
          <w:rFonts w:ascii="Times New Roman" w:eastAsia="Times New Roman" w:hAnsi="Times New Roman" w:cs="Times New Roman"/>
          <w:sz w:val="24"/>
          <w:szCs w:val="24"/>
        </w:rPr>
        <w:lastRenderedPageBreak/>
        <w:t>verdaderamente eficaz debe actuar de manera simultánea sobre todos estos planos  (Colimón, 1990)</w:t>
      </w:r>
    </w:p>
    <w:p w14:paraId="3F092698"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Los factores biológicos incluyen la predisposición genética, la edad, el sexo y el estado inmunológico del individuo. Si bien algunos de estos factores no son modificables (como los genes o la edad), la prevención puede actuar sobre sus consecuencias mediante la identificación temprana de riesgos, el asesoramiento genético, la vacunación y los controles de salud periódicos. La detección de familias con antecedentes de enfermedades cardiovasculares, diabetes o cáncer, por ejemplo, permite implementar medidas preventivas específicas en individuos de alto riesgo.</w:t>
      </w:r>
    </w:p>
    <w:p w14:paraId="5D1A78DF"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Los factores del estilo de vida son, en la actualidad, los más importantes desde el punto de vista de la prevención de las enfermedades crónicas no transmisibles. La alimentación inadecuada, el sedentarismo, el consumo de tabaco y alcohol, el estrés crónico y la falta de sueño son responsables de la mayor parte de la carga de enfermedad en los países desarrollados y en vías de desarrollo. La prevención integral en este plano implica acciones de educación, motivación y facilitación del cambio conductual, así como políticas que creen entornos favorables a las elecciones saludables.</w:t>
      </w:r>
    </w:p>
    <w:p w14:paraId="5B9BF32E"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Los factores sociales y económicos —también denominados determinantes sociales de la salud— incluyen el nivel educativo, el ingreso económico, el acceso a servicios de salud, las condiciones de vivienda, el trabajo y el ambiente social. La pobreza es, en este sentido, el factor de riesgo más poderoso para la enfermedad, pues concentra múltiples condiciones adversas. La prevención integral debe incluir acciones intersectoriales que mejoren las condiciones materiales y sociales de vida de las poblaciones más vulnerables.</w:t>
      </w:r>
    </w:p>
    <w:p w14:paraId="08CD0255"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Los factores ambientales abarcan la calidad del agua, el aire, el suelo y el entorno construido. La contaminación ambiental, la presencia de vectores de enfermedades, el acceso limitado a agua potable y saneamiento básico, y la exposición a sustancias tóxicas son factores ambientales con impacto directo sobre la salud. El </w:t>
      </w:r>
      <w:r w:rsidRPr="00640FAE">
        <w:rPr>
          <w:rFonts w:ascii="Times New Roman" w:eastAsia="Times New Roman" w:hAnsi="Times New Roman" w:cs="Times New Roman"/>
          <w:sz w:val="24"/>
          <w:szCs w:val="24"/>
        </w:rPr>
        <w:lastRenderedPageBreak/>
        <w:t>saneamiento ambiental —que incluye el tratamiento de aguas residuales, el manejo adecuado de residuos sólidos y el control de vectores— es una de las intervenciones de mayor impacto en la historia de la salud pública.</w:t>
      </w:r>
    </w:p>
    <w:p w14:paraId="7B463847" w14:textId="6A29401D"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Finalmente, los factores relacionados con los sistemas de salud —accesibilidad, calidad, oportunidad y continuidad de la atención— también determinan la efectividad de la prevención. Un sistema de salud que funciona con eficiencia puede intervenir tempranamente en el curso de las enfermedades, reduciendo su impacto individual y colectivo. La prevención integral requiere, en consecuencia, de la articulación de todos estos factores en estrategias coherentes y sostenidas en el tiempo  (Marmot y Wilkinson, 2006)</w:t>
      </w:r>
    </w:p>
    <w:p w14:paraId="4FEA06A2" w14:textId="77777777" w:rsidR="00640FAE" w:rsidRPr="00640FAE" w:rsidRDefault="00640FAE" w:rsidP="00640FAE">
      <w:pPr>
        <w:pStyle w:val="Ttulo1"/>
      </w:pPr>
      <w:bookmarkStart w:id="19" w:name="_Toc230525933"/>
      <w:r w:rsidRPr="00640FAE">
        <w:rPr>
          <w:rFonts w:eastAsia="Times New Roman"/>
        </w:rPr>
        <w:t>7. Focos de Infección: Tipos y Estrategias</w:t>
      </w:r>
      <w:bookmarkEnd w:id="19"/>
    </w:p>
    <w:p w14:paraId="600D6505" w14:textId="77777777" w:rsidR="00640FAE" w:rsidRPr="00640FAE" w:rsidRDefault="00640FAE" w:rsidP="00640FAE">
      <w:pPr>
        <w:pStyle w:val="Ttulo2"/>
      </w:pPr>
      <w:bookmarkStart w:id="20" w:name="_Toc230525934"/>
      <w:r w:rsidRPr="00640FAE">
        <w:rPr>
          <w:rFonts w:eastAsia="Times New Roman"/>
        </w:rPr>
        <w:t>7.1 Concepto de Foco de Infección</w:t>
      </w:r>
      <w:bookmarkEnd w:id="20"/>
    </w:p>
    <w:p w14:paraId="7CE9476E"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Un foco de infección se define como cualquier lugar, tejido, objeto o área del organismo —o del entorno— donde un microorganismo patógeno se encuentra presente, se multiplica activamente y desde el cual puede diseminarse hacia otros individuos o hacia el mismo huésped causando enfermedad  (Murray, Rosenthal y Pfaller, 2017). El concepto de foco infeccioso es central en epidemiología, pues su identificación y control son pasos fundamentales para interrumpir la cadena de transmisión de las enfermedades infecciosas.</w:t>
      </w:r>
    </w:p>
    <w:p w14:paraId="1C664644"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cadena epidemiológica de las enfermedades infecciosas está compuesta por tres eslabones fundamentales: el agente causal (el microorganismo), el huésped susceptible (la persona o animal que puede ser infectado) y el ambiente o medio de transmisión. El foco de infección puede ubicarse tanto en el agente como en el ambiente, dependiendo de las características del patógeno y del mecanismo de transmisión. La ruptura de cualquiera de estos eslabones es suficiente para detener la propagación de la enfermedad.</w:t>
      </w:r>
    </w:p>
    <w:p w14:paraId="1AA2698F" w14:textId="77777777" w:rsidR="00640FAE" w:rsidRPr="00640FAE" w:rsidRDefault="00640FAE" w:rsidP="00640FAE">
      <w:pPr>
        <w:pStyle w:val="Ttulo2"/>
      </w:pPr>
      <w:bookmarkStart w:id="21" w:name="_Toc230525935"/>
      <w:r w:rsidRPr="00640FAE">
        <w:rPr>
          <w:rFonts w:eastAsia="Times New Roman"/>
        </w:rPr>
        <w:lastRenderedPageBreak/>
        <w:t>7.2 Tipos de Focos de Infección</w:t>
      </w:r>
      <w:bookmarkEnd w:id="21"/>
    </w:p>
    <w:p w14:paraId="63B85808"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Los focos de infección pueden clasificarse según distintos criterios. Según su localización, se distinguen focos endógenos y exógenos. Los focos endógenos son aquellos ubicados dentro del propio organismo del individuo, generalmente en tejidos donde microorganismos habitualmente comensales han adquirido carácter patógeno por diversas circunstancias (inmunodepresión, alteración de barreras mucosas, instrumentación invasiva). Ejemplos frecuentes son las caries dentales como foco de bacteriemia, las infecciones periodontales, los abscesos internos y las infecciones crónicas de las vías urinarias.</w:t>
      </w:r>
    </w:p>
    <w:p w14:paraId="321616E1"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Los focos exógenos son aquellos ubicados fuera del organismo: en otros seres humanos (fuentes antroponóticas), en animales (fuentes zoonóticas) o en el ambiente (agua, suelo, alimentos, fómites). Las fuentes antroponóticas incluyen tanto a los enfermos (que eliminan agentes patógenos al ambiente) como a los portadores sanos (individuos infectados que no presentan síntomas pero eliminan el agente y pueden transmitirlo).</w:t>
      </w:r>
    </w:p>
    <w:p w14:paraId="147885C4"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Según el tipo de microorganismo involucrado, los focos pueden ser bacterianos (como los producidos por Staphylococcus aureus, Mycobacterium tuberculosis o Salmonella typhi), virales (como los producidos por el virus de la influenza, el SARS-CoV-2 o el virus del dengue), parasitarios (como los producidos por Plasmodium en el paludismo o Taenia en la teniasis) o fúngicos (como los producidos por Candida en las candidiasis invasivas o Aspergillus en la aspergilosis).</w:t>
      </w:r>
    </w:p>
    <w:p w14:paraId="6EB06360"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Según el entorno en que se localizan, pueden identificarse focos en el ambiente doméstico (agua estancada en recipientes que favorece la cría de mosquitos Aedes aegypti), en el ambiente laboral (ambientes hospitalarios con gérmenes multirresistentes), en el ambiente comunitario (sistemas de distribución de agua contaminados, aguas residuales sin tratar) y en el ambiente natural (suelos contaminados con esporas de Clostridium tetani, reservorios animales de virus como los murciélagos).</w:t>
      </w:r>
    </w:p>
    <w:p w14:paraId="7FE15C66" w14:textId="77777777" w:rsidR="00640FAE" w:rsidRPr="00640FAE" w:rsidRDefault="00640FAE" w:rsidP="00640FAE">
      <w:pPr>
        <w:pStyle w:val="Ttulo2"/>
      </w:pPr>
      <w:bookmarkStart w:id="22" w:name="_Toc230525936"/>
      <w:r w:rsidRPr="00640FAE">
        <w:rPr>
          <w:rFonts w:eastAsia="Times New Roman"/>
        </w:rPr>
        <w:lastRenderedPageBreak/>
        <w:t>7.3 Estrategias para el Control de Focos de Infección</w:t>
      </w:r>
      <w:bookmarkEnd w:id="22"/>
    </w:p>
    <w:p w14:paraId="03A29F15"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El control y eliminación de los focos de infección requiere de estrategias específicas adaptadas a las características del agente, el foco y las condiciones del entorno. La Organización Panamericana de la Salud  (OPS, 2019) señala que estas estrategias deben ser integrales, coordinadas entre múltiples sectores y basadas en principios científicos sólidos.</w:t>
      </w:r>
    </w:p>
    <w:p w14:paraId="10BD9D02"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La desinfección y esterilización son las estrategias más directas para eliminar focos infecciosos. La desinfección implica la destrucción o inactivación de la mayoría de los microorganismos patógenos presentes en superficies, objetos o ambientes mediante agentes físicos (calor, radiación ultravioleta) o químicos (hipoclorito de sodio, alcohol etílico, compuestos de amonio cuaternario). La esterilización va más allá, eliminando todo tipo de microorganismos incluyendo esporas, y es indispensable en el manejo de material quirúrgico e instrumentos médicos invasivos.</w:t>
      </w:r>
    </w:p>
    <w:p w14:paraId="553D07ED"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El saneamiento ambiental es la estrategia de mayor impacto a escala poblacional. Comprende el tratamiento del agua para consumo humano, la gestión adecuada de aguas servidas y residuos sólidos, el control de vectores (mosquitos, ratas, cucarachas) y la mejora de las condiciones higiénicas del entorno doméstico y comunitario. La cloración del agua, el uso de mosquiteros impregnados con insecticidas y las campañas de eliminación de criaderos de mosquitos son ejemplos de intervenciones de saneamiento ambiental de demostrada eficacia.</w:t>
      </w:r>
    </w:p>
    <w:p w14:paraId="216603C3"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El aislamiento y tratamiento de fuentes infecciosas humanas es fundamental para interrumpir la transmisión de enfermedades de persona a persona. Esto incluye el diagnóstico y tratamiento oportuno de los enfermos, la identificación y seguimiento de contactos, la cuarentena de personas expuestas en enfermedades de alto riesgo, y el manejo adecuado de portadores crónicos. La notificación obligatoria de enfermedades transmisibles permite a las autoridades sanitarias detectar brotes con rapidez e implementar medidas de control.</w:t>
      </w:r>
    </w:p>
    <w:p w14:paraId="61AB228F"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lastRenderedPageBreak/>
        <w:t>La educación sanitaria y la promoción de hábitos de higiene son estrategias de prevención de primer orden, especialmente eficaces para el control de enfermedades de transmisión fecal-oral y respiratoria. El lavado frecuente de manos con agua y jabón, la manipulación higiénica de alimentos, el uso correcto de mascarillas en situaciones de riesgo y la adecuada ventilación de los espacios cerrados son prácticas que, adecuadamente promovidas y adoptadas por la población, pueden reducir significativamente la incidencia de numerosas enfermedades infecciosas.</w:t>
      </w:r>
    </w:p>
    <w:p w14:paraId="7D59B62A" w14:textId="77777777" w:rsidR="00640FAE" w:rsidRPr="00640FAE" w:rsidRDefault="00640FAE" w:rsidP="00640FAE">
      <w:pPr>
        <w:spacing w:line="360" w:lineRule="auto"/>
        <w:rPr>
          <w:rFonts w:ascii="Times New Roman" w:hAnsi="Times New Roman" w:cs="Times New Roman"/>
          <w:sz w:val="24"/>
          <w:szCs w:val="24"/>
        </w:rPr>
      </w:pPr>
      <w:r w:rsidRPr="00640FAE">
        <w:rPr>
          <w:rFonts w:ascii="Times New Roman" w:hAnsi="Times New Roman" w:cs="Times New Roman"/>
          <w:sz w:val="24"/>
          <w:szCs w:val="24"/>
        </w:rPr>
        <w:br w:type="page"/>
      </w:r>
    </w:p>
    <w:p w14:paraId="75AE70E0" w14:textId="77777777" w:rsidR="00640FAE" w:rsidRPr="00640FAE" w:rsidRDefault="00640FAE" w:rsidP="00640FAE">
      <w:pPr>
        <w:pStyle w:val="Ttulo1"/>
        <w:spacing w:line="360" w:lineRule="auto"/>
        <w:rPr>
          <w:rFonts w:cs="Times New Roman"/>
          <w:szCs w:val="24"/>
        </w:rPr>
      </w:pPr>
      <w:bookmarkStart w:id="23" w:name="_Toc230525937"/>
      <w:r w:rsidRPr="00640FAE">
        <w:rPr>
          <w:rFonts w:eastAsia="Times New Roman" w:cs="Times New Roman"/>
          <w:bCs/>
          <w:color w:val="000000"/>
          <w:szCs w:val="24"/>
        </w:rPr>
        <w:lastRenderedPageBreak/>
        <w:t>CONCLUSIÓN</w:t>
      </w:r>
      <w:bookmarkEnd w:id="23"/>
    </w:p>
    <w:p w14:paraId="402D38E3"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El desarrollo del presente trabajo de investigación ha permitido construir una visión integral y articulada de los fundamentos de la Educación para la Salud, abarcando desde las bases conceptuales e históricas de la salud hasta las estrategias concretas para el control de focos de infección. A continuación, se sintetizan las principales conclusiones derivadas del análisis realizado.</w:t>
      </w:r>
    </w:p>
    <w:p w14:paraId="21EC2B84"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En primer lugar, el concepto de salud ha evolucionado de manera profunda a lo largo de la historia, transitando desde visiones mágico-religiosas y puramente biologicistas hacia una comprensión multidimensional que reconoce la inseparable interacción entre los factores físicos, mentales, sociales, económicos y ambientales en la determinación del estado de salud de las personas y las comunidades. Esta evolución no es meramente teórica: tiene consecuencias directas sobre la forma en que se organizan los sistemas de salud, se formulan las políticas públicas y se diseñan los programas de prevención y promoción.</w:t>
      </w:r>
    </w:p>
    <w:p w14:paraId="7C4E32A1"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En segundo lugar, el reconocimiento de la salud como derecho humano fundamental implica una obligación ineludible del Estado de garantizar condiciones equitativas de acceso a los servicios de salud para toda la población, sin discriminación de ningún tipo. Las organizaciones internacionales como la OMS y la OPS, y las nacionales como el MPPS, juegan un papel articulador esencial en la definición de estándares, la movilización de recursos y la coordinación de esfuerzos entre los distintos niveles de gobierno y sectores de la sociedad.</w:t>
      </w:r>
    </w:p>
    <w:p w14:paraId="5EF935DC"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 xml:space="preserve">En tercer lugar, las estrategias y políticas de salud eficaces deben sustentarse en la Atención Primaria de Salud como eje articulador del sistema, en la vigilancia epidemiológica como herramienta de detección temprana de problemas de salud, y en la intersectorialidad como condición necesaria para abordar los determinantes sociales de la salud. La experiencia internacional demuestra que los países que han invertido sostenidamente en atención primaria y prevención han logrado mejores indicadores de </w:t>
      </w:r>
      <w:r w:rsidRPr="00640FAE">
        <w:rPr>
          <w:rFonts w:ascii="Times New Roman" w:eastAsia="Times New Roman" w:hAnsi="Times New Roman" w:cs="Times New Roman"/>
          <w:sz w:val="24"/>
          <w:szCs w:val="24"/>
        </w:rPr>
        <w:lastRenderedPageBreak/>
        <w:t>salud con menores costos que aquellos centrados exclusivamente en la atención hospitalaria.</w:t>
      </w:r>
    </w:p>
    <w:p w14:paraId="19941E01"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En cuarto lugar, la promoción de la cultura sanitaria es una inversión de largo plazo que transforma los conocimientos, actitudes y prácticas de la población en relación con la salud. Una población con alta «alfabetización en salud» toma mejores decisiones, demanda servicios de mayor calidad y participa activamente en la construcción de entornos más saludables. La educación para la salud en todos los niveles del sistema educativo, combinada con estrategias de comunicación efectiva y empoderamiento comunitario, es la vía más sostenible para alcanzar este objetivo.</w:t>
      </w:r>
    </w:p>
    <w:p w14:paraId="624FC11C"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En quinto lugar, la prevención —en sus tres niveles— constituye la forma más eficiente, humana y económica de proteger la salud de las poblaciones. La prevención primaria, al actuar antes de que aparezca la enfermedad, ahorra sufrimiento, discapacidad, muertes prematuras y costos sanitarios. La prevención secundaria, mediante el diagnóstico precoz, reduce el impacto de las enfermedades que no han podido evitarse. Y la prevención terciaria busca restablecer la funcionalidad y la calidad de vida de quienes han sufrido daños por la enfermedad. Los factores de prevención integral —biológicos, conductuales, sociales, económicos y ambientales— deben abordarse de manera coordinada para que las intervenciones preventivas sean verdaderamente eficaces.</w:t>
      </w:r>
    </w:p>
    <w:p w14:paraId="28B04A95"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t>Finalmente, el conocimiento y control de los focos de infección es una pieza clave en la protección de la salud colectiva. La identificación de los tipos de focos, los mecanismos de transmisión y las estrategias de control —desinfección, saneamiento ambiental, aislamiento de fuentes, educación sanitaria— permite implementar respuestas oportunas y proporcionales ante las amenazas infecciosas. En un mundo donde los microorganismos patógenos continúan evolucionando y las condiciones de movilidad e interconexión global facilitan su difusión, el fortalecimiento de los sistemas de vigilancia y respuesta epidemiológica es más urgente que nunca.</w:t>
      </w:r>
    </w:p>
    <w:p w14:paraId="0E29EFD4" w14:textId="77777777" w:rsidR="00640FAE" w:rsidRPr="00640FAE" w:rsidRDefault="00640FAE" w:rsidP="00640FAE">
      <w:pPr>
        <w:spacing w:after="200" w:line="360" w:lineRule="auto"/>
        <w:ind w:firstLine="720"/>
        <w:jc w:val="both"/>
        <w:rPr>
          <w:rFonts w:ascii="Times New Roman" w:hAnsi="Times New Roman" w:cs="Times New Roman"/>
          <w:sz w:val="24"/>
          <w:szCs w:val="24"/>
        </w:rPr>
      </w:pPr>
      <w:r w:rsidRPr="00640FAE">
        <w:rPr>
          <w:rFonts w:ascii="Times New Roman" w:eastAsia="Times New Roman" w:hAnsi="Times New Roman" w:cs="Times New Roman"/>
          <w:sz w:val="24"/>
          <w:szCs w:val="24"/>
        </w:rPr>
        <w:lastRenderedPageBreak/>
        <w:t>En conclusión, la salud y la prevención son ámbitos de conocimiento y acción indisolubles, que requieren de la participación activa de los individuos, las comunidades, las instituciones y los Estados para ser efectivos. La Educación para la Salud, como disciplina y como práctica, tiene el desafío y la responsabilidad de contribuir a construir sociedades más informadas, más saludables y más equitativas.</w:t>
      </w:r>
    </w:p>
    <w:p w14:paraId="79E2463E" w14:textId="77777777" w:rsidR="00640FAE" w:rsidRPr="00640FAE" w:rsidRDefault="00640FAE" w:rsidP="00640FAE">
      <w:pPr>
        <w:spacing w:line="360" w:lineRule="auto"/>
        <w:rPr>
          <w:rFonts w:ascii="Times New Roman" w:hAnsi="Times New Roman" w:cs="Times New Roman"/>
          <w:sz w:val="24"/>
          <w:szCs w:val="24"/>
        </w:rPr>
      </w:pPr>
      <w:r w:rsidRPr="00640FAE">
        <w:rPr>
          <w:rFonts w:ascii="Times New Roman" w:hAnsi="Times New Roman" w:cs="Times New Roman"/>
          <w:sz w:val="24"/>
          <w:szCs w:val="24"/>
        </w:rPr>
        <w:br w:type="page"/>
      </w:r>
    </w:p>
    <w:p w14:paraId="78ADBB7F" w14:textId="77777777" w:rsidR="00640FAE" w:rsidRPr="00640FAE" w:rsidRDefault="00640FAE" w:rsidP="00640FAE">
      <w:pPr>
        <w:pStyle w:val="Ttulo1"/>
        <w:spacing w:line="360" w:lineRule="auto"/>
        <w:rPr>
          <w:rFonts w:cs="Times New Roman"/>
          <w:szCs w:val="24"/>
        </w:rPr>
      </w:pPr>
      <w:bookmarkStart w:id="24" w:name="_Toc230525938"/>
      <w:r w:rsidRPr="00640FAE">
        <w:rPr>
          <w:rFonts w:eastAsia="Times New Roman" w:cs="Times New Roman"/>
          <w:bCs/>
          <w:color w:val="000000"/>
          <w:szCs w:val="24"/>
        </w:rPr>
        <w:lastRenderedPageBreak/>
        <w:t>REFERENCIAS BIBLIOGRÁFICAS</w:t>
      </w:r>
      <w:bookmarkEnd w:id="24"/>
    </w:p>
    <w:p w14:paraId="3BFEE475"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Álvarez Alva, R. (2002). </w:t>
      </w:r>
      <w:r w:rsidRPr="00640FAE">
        <w:rPr>
          <w:rFonts w:ascii="Times New Roman" w:eastAsia="Times New Roman" w:hAnsi="Times New Roman" w:cs="Times New Roman"/>
          <w:sz w:val="24"/>
          <w:szCs w:val="24"/>
        </w:rPr>
        <w:t>Salud Pública y Medicina Preventiva (4ta ed.). Ciudad de México, México: Editorial El Manual Moderno.</w:t>
      </w:r>
    </w:p>
    <w:p w14:paraId="3C8F36F1"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Colimón, K. M. (1990). </w:t>
      </w:r>
      <w:r w:rsidRPr="00640FAE">
        <w:rPr>
          <w:rFonts w:ascii="Times New Roman" w:eastAsia="Times New Roman" w:hAnsi="Times New Roman" w:cs="Times New Roman"/>
          <w:sz w:val="24"/>
          <w:szCs w:val="24"/>
        </w:rPr>
        <w:t>Fundamentos de Epidemiología. Medellín, Colombia: Editorial Universidad de Antioquia.</w:t>
      </w:r>
    </w:p>
    <w:p w14:paraId="5D3B9E9B"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Constitución de la República Bolivariana de Venezuela. (1999). </w:t>
      </w:r>
      <w:r w:rsidRPr="00640FAE">
        <w:rPr>
          <w:rFonts w:ascii="Times New Roman" w:eastAsia="Times New Roman" w:hAnsi="Times New Roman" w:cs="Times New Roman"/>
          <w:sz w:val="24"/>
          <w:szCs w:val="24"/>
        </w:rPr>
        <w:t>Gaceta Oficial Nº 36.860 del 30 de diciembre de 1999. Caracas, Venezuela: Asamblea Nacional Constituyente.</w:t>
      </w:r>
    </w:p>
    <w:p w14:paraId="6C588CF0"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García García, I. (2011). </w:t>
      </w:r>
      <w:r w:rsidRPr="00640FAE">
        <w:rPr>
          <w:rFonts w:ascii="Times New Roman" w:eastAsia="Times New Roman" w:hAnsi="Times New Roman" w:cs="Times New Roman"/>
          <w:sz w:val="24"/>
          <w:szCs w:val="24"/>
        </w:rPr>
        <w:t>Niveles de prevención en salud pública. Revista Española de Salud Pública, 85(5), 1-5.</w:t>
      </w:r>
    </w:p>
    <w:p w14:paraId="24DBFBCD"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Leavell, H. R., y Clark, E. G. (1965). </w:t>
      </w:r>
      <w:r w:rsidRPr="00640FAE">
        <w:rPr>
          <w:rFonts w:ascii="Times New Roman" w:eastAsia="Times New Roman" w:hAnsi="Times New Roman" w:cs="Times New Roman"/>
          <w:sz w:val="24"/>
          <w:szCs w:val="24"/>
        </w:rPr>
        <w:t>Preventive Medicine for the Doctor in his Community (3ra ed.). Nueva York, EE.UU.: McGraw-Hill.</w:t>
      </w:r>
    </w:p>
    <w:p w14:paraId="0E389BE7"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Murray, P. R., Rosenthal, K. S., y Pfaller, M. A. (2017). </w:t>
      </w:r>
      <w:r w:rsidRPr="00640FAE">
        <w:rPr>
          <w:rFonts w:ascii="Times New Roman" w:eastAsia="Times New Roman" w:hAnsi="Times New Roman" w:cs="Times New Roman"/>
          <w:sz w:val="24"/>
          <w:szCs w:val="24"/>
        </w:rPr>
        <w:t>Microbiología Médica (8va ed.). Barcelona, España: Elsevier.</w:t>
      </w:r>
    </w:p>
    <w:p w14:paraId="1D9758D2"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Organización Mundial de la Salud – OMS. (1948). </w:t>
      </w:r>
      <w:r w:rsidRPr="00640FAE">
        <w:rPr>
          <w:rFonts w:ascii="Times New Roman" w:eastAsia="Times New Roman" w:hAnsi="Times New Roman" w:cs="Times New Roman"/>
          <w:sz w:val="24"/>
          <w:szCs w:val="24"/>
        </w:rPr>
        <w:t>Constitución de la Organización Mundial de la Salud. Ginebra, Suiza: OMS.</w:t>
      </w:r>
    </w:p>
    <w:p w14:paraId="523727E3"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Organización Mundial de la Salud – OMS. (2016). </w:t>
      </w:r>
      <w:r w:rsidRPr="00640FAE">
        <w:rPr>
          <w:rFonts w:ascii="Times New Roman" w:eastAsia="Times New Roman" w:hAnsi="Times New Roman" w:cs="Times New Roman"/>
          <w:sz w:val="24"/>
          <w:szCs w:val="24"/>
        </w:rPr>
        <w:t>Marco sobre servicios de salud integrados y centrados en las personas. Ginebra, Suiza: OMS.</w:t>
      </w:r>
    </w:p>
    <w:p w14:paraId="290200C4" w14:textId="04617395"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Organización Mundial de la Salud – OMS. (2023). </w:t>
      </w:r>
      <w:r w:rsidRPr="00640FAE">
        <w:rPr>
          <w:rFonts w:ascii="Times New Roman" w:eastAsia="Times New Roman" w:hAnsi="Times New Roman" w:cs="Times New Roman"/>
          <w:sz w:val="24"/>
          <w:szCs w:val="24"/>
        </w:rPr>
        <w:t xml:space="preserve">Informe sobre la salud en el mundo 2023. </w:t>
      </w:r>
    </w:p>
    <w:p w14:paraId="4CE415C0"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Organización Panamericana de la Salud – OPS. (2019). </w:t>
      </w:r>
      <w:r w:rsidRPr="00640FAE">
        <w:rPr>
          <w:rFonts w:ascii="Times New Roman" w:eastAsia="Times New Roman" w:hAnsi="Times New Roman" w:cs="Times New Roman"/>
          <w:sz w:val="24"/>
          <w:szCs w:val="24"/>
        </w:rPr>
        <w:t>Manual de procedimientos para la vigilancia y control de enfermedades inmunoprevenibles. Washington D.C., EE.UU.: OPS.</w:t>
      </w:r>
    </w:p>
    <w:p w14:paraId="65234994"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lastRenderedPageBreak/>
        <w:t xml:space="preserve">Organización Panamericana de la Salud/Organización Mundial de la Salud – OPS/OMS. (1986). </w:t>
      </w:r>
      <w:r w:rsidRPr="00640FAE">
        <w:rPr>
          <w:rFonts w:ascii="Times New Roman" w:eastAsia="Times New Roman" w:hAnsi="Times New Roman" w:cs="Times New Roman"/>
          <w:sz w:val="24"/>
          <w:szCs w:val="24"/>
        </w:rPr>
        <w:t>Carta de Ottawa para la Promoción de la Salud. Ottawa, Canadá: OPS/OMS.</w:t>
      </w:r>
    </w:p>
    <w:p w14:paraId="15CAA303"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Organización de las Naciones Unidas – ONU. (1966). </w:t>
      </w:r>
      <w:r w:rsidRPr="00640FAE">
        <w:rPr>
          <w:rFonts w:ascii="Times New Roman" w:eastAsia="Times New Roman" w:hAnsi="Times New Roman" w:cs="Times New Roman"/>
          <w:sz w:val="24"/>
          <w:szCs w:val="24"/>
        </w:rPr>
        <w:t>Pacto Internacional de Derechos Económicos, Sociales y Culturales. Nueva York, EE.UU.: ONU.</w:t>
      </w:r>
    </w:p>
    <w:p w14:paraId="19DC6151" w14:textId="77777777" w:rsidR="00640FAE" w:rsidRPr="00640FAE" w:rsidRDefault="00640FAE" w:rsidP="00640FAE">
      <w:pPr>
        <w:spacing w:after="160" w:line="360" w:lineRule="auto"/>
        <w:ind w:left="720" w:hanging="720"/>
        <w:jc w:val="both"/>
        <w:rPr>
          <w:rFonts w:ascii="Times New Roman" w:hAnsi="Times New Roman" w:cs="Times New Roman"/>
          <w:sz w:val="24"/>
          <w:szCs w:val="24"/>
        </w:rPr>
      </w:pPr>
      <w:r w:rsidRPr="00640FAE">
        <w:rPr>
          <w:rFonts w:ascii="Times New Roman" w:eastAsia="Times New Roman" w:hAnsi="Times New Roman" w:cs="Times New Roman"/>
          <w:b/>
          <w:bCs/>
          <w:sz w:val="24"/>
          <w:szCs w:val="24"/>
        </w:rPr>
        <w:t xml:space="preserve">Rosen, G. (1985). </w:t>
      </w:r>
      <w:r w:rsidRPr="00640FAE">
        <w:rPr>
          <w:rFonts w:ascii="Times New Roman" w:eastAsia="Times New Roman" w:hAnsi="Times New Roman" w:cs="Times New Roman"/>
          <w:sz w:val="24"/>
          <w:szCs w:val="24"/>
        </w:rPr>
        <w:t>De la Policía Médica a la Medicina Social: Ensayos sobre la Historia de la Atención a la Salud. Ciudad de México, México: Siglo XXI Editores.</w:t>
      </w:r>
    </w:p>
    <w:p w14:paraId="63DE0502" w14:textId="77777777" w:rsidR="00640FAE" w:rsidRPr="00640FAE" w:rsidRDefault="00640FAE" w:rsidP="00640FAE">
      <w:pPr>
        <w:spacing w:line="360" w:lineRule="auto"/>
        <w:rPr>
          <w:rFonts w:ascii="Times New Roman" w:hAnsi="Times New Roman" w:cs="Times New Roman"/>
          <w:sz w:val="24"/>
          <w:szCs w:val="24"/>
        </w:rPr>
      </w:pPr>
    </w:p>
    <w:p w14:paraId="24C9B389" w14:textId="77777777" w:rsidR="00640FAE" w:rsidRPr="00640FAE" w:rsidRDefault="00640FAE" w:rsidP="00640FAE">
      <w:pPr>
        <w:spacing w:line="360" w:lineRule="auto"/>
        <w:rPr>
          <w:rFonts w:ascii="Times New Roman" w:hAnsi="Times New Roman" w:cs="Times New Roman"/>
          <w:sz w:val="24"/>
          <w:szCs w:val="24"/>
        </w:rPr>
      </w:pPr>
    </w:p>
    <w:p w14:paraId="41E18959" w14:textId="77777777" w:rsidR="00640FAE" w:rsidRPr="00640FAE" w:rsidRDefault="00640FAE" w:rsidP="00640FAE">
      <w:pPr>
        <w:spacing w:line="360" w:lineRule="auto"/>
        <w:rPr>
          <w:rFonts w:ascii="Times New Roman" w:hAnsi="Times New Roman" w:cs="Times New Roman"/>
          <w:sz w:val="24"/>
          <w:szCs w:val="24"/>
        </w:rPr>
      </w:pPr>
    </w:p>
    <w:p w14:paraId="46C5CF20" w14:textId="77777777" w:rsidR="00640FAE" w:rsidRPr="00640FAE" w:rsidRDefault="00640FAE" w:rsidP="00640FAE">
      <w:pPr>
        <w:spacing w:line="360" w:lineRule="auto"/>
        <w:rPr>
          <w:rFonts w:ascii="Times New Roman" w:hAnsi="Times New Roman" w:cs="Times New Roman"/>
          <w:sz w:val="24"/>
          <w:szCs w:val="24"/>
        </w:rPr>
      </w:pPr>
    </w:p>
    <w:p w14:paraId="1CC60C48" w14:textId="77777777" w:rsidR="00640FAE" w:rsidRPr="00640FAE" w:rsidRDefault="00640FAE" w:rsidP="00640FAE">
      <w:pPr>
        <w:spacing w:line="360" w:lineRule="auto"/>
        <w:rPr>
          <w:rFonts w:ascii="Times New Roman" w:hAnsi="Times New Roman" w:cs="Times New Roman"/>
          <w:sz w:val="24"/>
          <w:szCs w:val="24"/>
        </w:rPr>
      </w:pPr>
    </w:p>
    <w:sectPr w:rsidR="00640FAE" w:rsidRPr="00640FAE"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29516" w14:textId="77777777" w:rsidR="00547418" w:rsidRDefault="00547418" w:rsidP="004E06D4">
      <w:pPr>
        <w:spacing w:after="0" w:line="240" w:lineRule="auto"/>
      </w:pPr>
      <w:r>
        <w:separator/>
      </w:r>
    </w:p>
  </w:endnote>
  <w:endnote w:type="continuationSeparator" w:id="0">
    <w:p w14:paraId="74324E39" w14:textId="77777777" w:rsidR="00547418" w:rsidRDefault="00547418"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DBBA8" w14:textId="77777777" w:rsidR="00547418" w:rsidRDefault="00547418" w:rsidP="004E06D4">
      <w:pPr>
        <w:spacing w:after="0" w:line="240" w:lineRule="auto"/>
      </w:pPr>
      <w:r>
        <w:separator/>
      </w:r>
    </w:p>
  </w:footnote>
  <w:footnote w:type="continuationSeparator" w:id="0">
    <w:p w14:paraId="2700027D" w14:textId="77777777" w:rsidR="00547418" w:rsidRDefault="00547418"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5"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9"/>
  </w:num>
  <w:num w:numId="2" w16cid:durableId="1609041643">
    <w:abstractNumId w:val="10"/>
  </w:num>
  <w:num w:numId="3" w16cid:durableId="363556638">
    <w:abstractNumId w:val="8"/>
  </w:num>
  <w:num w:numId="4" w16cid:durableId="710616113">
    <w:abstractNumId w:val="2"/>
  </w:num>
  <w:num w:numId="5" w16cid:durableId="957301603">
    <w:abstractNumId w:val="6"/>
  </w:num>
  <w:num w:numId="6" w16cid:durableId="1651863276">
    <w:abstractNumId w:val="5"/>
  </w:num>
  <w:num w:numId="7" w16cid:durableId="920060361">
    <w:abstractNumId w:val="3"/>
  </w:num>
  <w:num w:numId="8" w16cid:durableId="326441774">
    <w:abstractNumId w:val="7"/>
  </w:num>
  <w:num w:numId="9" w16cid:durableId="7755475">
    <w:abstractNumId w:val="4"/>
  </w:num>
  <w:num w:numId="10" w16cid:durableId="821505167">
    <w:abstractNumId w:val="0"/>
  </w:num>
  <w:num w:numId="11" w16cid:durableId="857624297">
    <w:abstractNumId w:val="1"/>
  </w:num>
  <w:num w:numId="12" w16cid:durableId="547373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62808"/>
    <w:rsid w:val="000E18CB"/>
    <w:rsid w:val="00181193"/>
    <w:rsid w:val="001B774B"/>
    <w:rsid w:val="003A6467"/>
    <w:rsid w:val="00481D8D"/>
    <w:rsid w:val="004E06D4"/>
    <w:rsid w:val="00510A8E"/>
    <w:rsid w:val="00530138"/>
    <w:rsid w:val="00547418"/>
    <w:rsid w:val="00593611"/>
    <w:rsid w:val="00620E18"/>
    <w:rsid w:val="00640FAE"/>
    <w:rsid w:val="00726983"/>
    <w:rsid w:val="0087176C"/>
    <w:rsid w:val="008B4BB4"/>
    <w:rsid w:val="008E5A5F"/>
    <w:rsid w:val="00967823"/>
    <w:rsid w:val="00A95DA2"/>
    <w:rsid w:val="00AE44FC"/>
    <w:rsid w:val="00AF1DDD"/>
    <w:rsid w:val="00C1560F"/>
    <w:rsid w:val="00C227D1"/>
    <w:rsid w:val="00D40A0F"/>
    <w:rsid w:val="00D541DE"/>
    <w:rsid w:val="00D579EB"/>
    <w:rsid w:val="00D60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6475</Words>
  <Characters>35613</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4</cp:revision>
  <dcterms:created xsi:type="dcterms:W3CDTF">2026-05-24T18:40:00Z</dcterms:created>
  <dcterms:modified xsi:type="dcterms:W3CDTF">2026-05-24T18:42:00Z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