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ntentsHeading"/>
      </w:pPr>
      <w:r>
        <w:t>СОДЕРЖАНИЕ</w:t>
      </w:r>
    </w:p>
    <w:p>
      <w:pPr>
        <w:pStyle w:val="TOC1"/>
      </w:pPr>
      <w:r>
        <w:fldChar w:fldCharType="begin" w:dirty="false"/>
      </w:r>
      <w:r>
        <w:instrText xml:space="preserve"> TOC \o "1-2" \h \z </w:instrText>
      </w:r>
      <w:r>
        <w:fldChar w:fldCharType="separate"/>
      </w:r>
      <w:hyperlink w:anchor="_toc_intro" w:history="1">
        <w:r>
          <w:rPr>
            <w:color w:val="000000"/>
          </w:rPr>
          <w:t>ВВЕДЕНИЕ</w:t>
        </w:r>
      </w:hyperlink>
      <w:r>
        <w:tab/>
      </w:r>
      <w:r>
        <w:fldChar w:fldCharType="begin" w:dirty="false"/>
      </w:r>
      <w:r>
        <w:instrText xml:space="preserve"> PAGEREF _toc_intro \h </w:instrText>
      </w:r>
      <w:r>
        <w:fldChar w:fldCharType="separate"/>
      </w:r>
      <w:r>
        <w:t>2</w:t>
      </w:r>
      <w:r>
        <w:fldChar w:fldCharType="end"/>
      </w:r>
    </w:p>
    <w:p>
      <w:pPr>
        <w:pStyle w:val="TOC1"/>
      </w:pPr>
      <w:hyperlink w:anchor="_toc_chapter" w:history="1">
        <w:r>
          <w:rPr>
            <w:color w:val="000000"/>
          </w:rPr>
          <w:t>1 Исследовательский раздел</w:t>
        </w:r>
      </w:hyperlink>
      <w:r>
        <w:tab/>
      </w:r>
      <w:r>
        <w:fldChar w:fldCharType="begin" w:dirty="false"/>
      </w:r>
      <w:r>
        <w:instrText xml:space="preserve"> PAGEREF _toc_chapter \h </w:instrText>
      </w:r>
      <w:r>
        <w:fldChar w:fldCharType="separate"/>
      </w:r>
      <w:r>
        <w:t>4</w:t>
      </w:r>
      <w:r>
        <w:fldChar w:fldCharType="end"/>
      </w:r>
    </w:p>
    <w:p>
      <w:pPr>
        <w:pStyle w:val="TOC2"/>
      </w:pPr>
      <w:hyperlink w:anchor="_toc_s11" w:history="1">
        <w:r>
          <w:rPr>
            <w:color w:val="000000"/>
          </w:rPr>
          <w:t>1.1 Проблема выбора открытых проектов с учётом рисков информационной безопасности</w:t>
        </w:r>
      </w:hyperlink>
      <w:r>
        <w:tab/>
      </w:r>
      <w:r>
        <w:fldChar w:fldCharType="begin" w:dirty="false"/>
      </w:r>
      <w:r>
        <w:instrText xml:space="preserve"> PAGEREF _toc_s11 \h </w:instrText>
      </w:r>
      <w:r>
        <w:fldChar w:fldCharType="separate"/>
      </w:r>
      <w:r>
        <w:t>4</w:t>
      </w:r>
      <w:r>
        <w:fldChar w:fldCharType="end"/>
      </w:r>
    </w:p>
    <w:p>
      <w:pPr>
        <w:pStyle w:val="TOC2"/>
      </w:pPr>
      <w:hyperlink w:anchor="_toc_s12" w:history="1">
        <w:r>
          <w:rPr>
            <w:color w:val="000000"/>
          </w:rPr>
          <w:t>1.2 Сравнительный анализ средств поддержки безопасного выбора открытых компонентов</w:t>
        </w:r>
      </w:hyperlink>
      <w:r>
        <w:tab/>
      </w:r>
      <w:r>
        <w:fldChar w:fldCharType="begin" w:dirty="false"/>
      </w:r>
      <w:r>
        <w:instrText xml:space="preserve"> PAGEREF _toc_s12 \h </w:instrText>
      </w:r>
      <w:r>
        <w:fldChar w:fldCharType="separate"/>
      </w:r>
      <w:r>
        <w:t>9</w:t>
      </w:r>
      <w:r>
        <w:fldChar w:fldCharType="end"/>
      </w:r>
    </w:p>
    <w:p>
      <w:pPr>
        <w:pStyle w:val="TOC2"/>
      </w:pPr>
      <w:hyperlink w:anchor="_toc_s13" w:history="1">
        <w:r>
          <w:rPr>
            <w:color w:val="000000"/>
          </w:rPr>
          <w:t>1.3 Обоснование рекомендательного подхода к выбору открытых проектов</w:t>
        </w:r>
      </w:hyperlink>
      <w:r>
        <w:tab/>
      </w:r>
      <w:r>
        <w:fldChar w:fldCharType="begin" w:dirty="false"/>
      </w:r>
      <w:r>
        <w:instrText xml:space="preserve"> PAGEREF _toc_s13 \h </w:instrText>
      </w:r>
      <w:r>
        <w:fldChar w:fldCharType="separate"/>
      </w:r>
      <w:r>
        <w:t>19</w:t>
      </w:r>
      <w:r>
        <w:fldChar w:fldCharType="end"/>
      </w:r>
    </w:p>
    <w:p>
      <w:pPr>
        <w:pStyle w:val="TOC2"/>
      </w:pPr>
      <w:hyperlink w:anchor="_toc_conclusions" w:history="1">
        <w:r>
          <w:rPr>
            <w:color w:val="000000"/>
          </w:rPr>
          <w:t>Выводы по главе 1</w:t>
        </w:r>
      </w:hyperlink>
      <w:r>
        <w:tab/>
      </w:r>
      <w:r>
        <w:fldChar w:fldCharType="begin" w:dirty="false"/>
      </w:r>
      <w:r>
        <w:instrText xml:space="preserve"> PAGEREF _toc_conclusions \h </w:instrText>
      </w:r>
      <w:r>
        <w:fldChar w:fldCharType="separate"/>
      </w:r>
      <w:r>
        <w:t>23</w:t>
      </w:r>
      <w:r>
        <w:fldChar w:fldCharType="end"/>
      </w:r>
    </w:p>
    <w:p>
      <w:pPr>
        <w:pStyle w:val="TOC1"/>
      </w:pPr>
      <w:hyperlink w:anchor="_toc_sources" w:history="1">
        <w:r>
          <w:rPr>
            <w:color w:val="000000"/>
          </w:rPr>
          <w:t>СПИСОК ИСПОЛЬЗОВАННЫХ ИСТОЧНИКОВ</w:t>
        </w:r>
      </w:hyperlink>
      <w:r>
        <w:tab/>
      </w:r>
      <w:r>
        <w:fldChar w:fldCharType="begin" w:dirty="false"/>
      </w:r>
      <w:r>
        <w:instrText xml:space="preserve"> PAGEREF _toc_sources \h </w:instrText>
      </w:r>
      <w:r>
        <w:fldChar w:fldCharType="separate"/>
      </w:r>
      <w:r>
        <w:t>24</w:t>
      </w:r>
      <w:r>
        <w:fldChar w:fldCharType="end"/>
      </w:r>
      <w:r>
        <w:fldChar w:fldCharType="end"/>
      </w:r>
    </w:p>
    <w:p>
      <w:pPr>
        <w:pStyle w:val="Heading1"/>
        <w:pageBreakBefore/>
        <w:spacing w:before="0" w:after="280"/>
        <w:ind w:firstLine="0"/>
        <w:jc w:val="center"/>
      </w:pPr>
      <w:bookmarkStart w:id="1" w:name="_toc_intro"/>
      <w:r>
        <w:t>ВВЕДЕНИЕ</w:t>
      </w:r>
      <w:bookmarkEnd w:id="1"/>
    </w:p>
    <w:p>
      <w:pPr>
        <w:widowControl/>
        <w:spacing w:line="360" w:lineRule="auto" w:before="0" w:after="0"/>
        <w:ind w:firstLine="709"/>
        <w:jc w:val="both"/>
      </w:pPr>
      <w:r>
        <w:t>Выбор компонента с открытым исходным кодом связан с оценкой его безопасности и условий сопровождения. Значение имеют зависимости, порядок принятия изменений, проверки кода и подготовка выпусков. NIST SSDF рассматривает защиту программного обеспечения как совокупность организационных и технических практик его жизненного цикла [1].</w:t>
      </w:r>
    </w:p>
    <w:p>
      <w:pPr>
        <w:widowControl/>
        <w:spacing w:line="360" w:lineRule="auto" w:before="0" w:after="0"/>
        <w:ind w:firstLine="709"/>
        <w:jc w:val="both"/>
      </w:pPr>
      <w:r>
        <w:t>Потребитель должен определить, подходит ли проект для использования и какие меры нужны перед внедрением. Решение зависит от версии, назначения компонента и условий эксплуатации, что учитывается в OWASP SCVS [2]. Для обоснования выбора требуется сопоставить результаты проверок со сведениями о разработке проекта.</w:t>
      </w:r>
    </w:p>
    <w:p>
      <w:pPr>
        <w:widowControl/>
        <w:spacing w:line="360" w:lineRule="auto" w:before="0" w:after="0"/>
        <w:ind w:firstLine="709"/>
        <w:jc w:val="both"/>
      </w:pPr>
      <w:r>
        <w:t>Исследования экосистемы npm и известных вредоносных пакетов показывают значение транзитивных зависимостей, полномочий сопровождающих и способов публикации [3, 4]. Эти сведения представлены в разных источниках. Их совместная интерпретация при выборе компонента необходима для оценки рисков информационной безопасности и внедрения бэкдоров.</w:t>
      </w:r>
    </w:p>
    <w:p>
      <w:pPr>
        <w:widowControl/>
        <w:spacing w:line="360" w:lineRule="auto" w:before="0" w:after="0"/>
        <w:ind w:firstLine="709"/>
        <w:jc w:val="both"/>
      </w:pPr>
      <w:r>
        <w:t>Цель работы — разработать систему анализа процессов разработки проектов с открытым исходным кодом для формирования обоснованных рекомендаций об их использовании с учётом информационной безопасности и риска внедрения бэкдоров.</w:t>
      </w:r>
    </w:p>
    <w:p>
      <w:pPr>
        <w:keepNext/>
        <w:widowControl/>
        <w:spacing w:line="360" w:lineRule="auto" w:before="0" w:after="0"/>
        <w:ind w:firstLine="709"/>
        <w:jc w:val="both"/>
      </w:pPr>
      <w:r>
        <w:t>Для достижения поставленной цели необходимо решить следующие задачи:</w:t>
      </w:r>
    </w:p>
    <w:p>
      <w:pPr>
        <w:widowControl/>
        <w:spacing w:line="360" w:lineRule="auto" w:before="0" w:after="0"/>
        <w:ind w:firstLine="709"/>
        <w:jc w:val="both"/>
      </w:pPr>
      <w:r>
        <w:t>— проанализировать проблему выбора проектов с открытым исходным кодом с учётом рисков информационной безопасности;</w:t>
      </w:r>
    </w:p>
    <w:p>
      <w:pPr>
        <w:widowControl/>
        <w:spacing w:line="360" w:lineRule="auto" w:before="0" w:after="0"/>
        <w:ind w:firstLine="709"/>
        <w:jc w:val="both"/>
      </w:pPr>
      <w:r>
        <w:t>— провести сравнительный анализ существующих средств и обосновать требования к разрабатываемой системе;</w:t>
      </w:r>
    </w:p>
    <w:p>
      <w:pPr>
        <w:widowControl/>
        <w:spacing w:line="360" w:lineRule="auto" w:before="0" w:after="0"/>
        <w:ind w:firstLine="709"/>
        <w:jc w:val="both"/>
      </w:pPr>
      <w:r>
        <w:t>— определить источники данных и показатели анализа, разработать правила формирования рекомендаций и объяснения результатов;</w:t>
      </w:r>
    </w:p>
    <w:p>
      <w:pPr>
        <w:widowControl/>
        <w:spacing w:line="360" w:lineRule="auto" w:before="0" w:after="0"/>
        <w:ind w:firstLine="709"/>
        <w:jc w:val="both"/>
      </w:pPr>
      <w:r>
        <w:t>— спроектировать и реализовать систему сбора и анализа доступных сведений с пользовательским интерфейсом для представления результатов;</w:t>
      </w:r>
    </w:p>
    <w:p>
      <w:pPr>
        <w:widowControl/>
        <w:spacing w:line="360" w:lineRule="auto" w:before="0" w:after="0"/>
        <w:ind w:firstLine="709"/>
        <w:jc w:val="both"/>
      </w:pPr>
      <w:r>
        <w:t>— проверить работу системы на выбранных открытых проектах, сопоставив полученные показатели с источниками, а рекомендации — с заданными правилами.</w:t>
      </w:r>
    </w:p>
    <w:p>
      <w:pPr>
        <w:widowControl/>
        <w:spacing w:line="360" w:lineRule="auto" w:before="0" w:after="0"/>
        <w:ind w:firstLine="709"/>
        <w:jc w:val="both"/>
      </w:pPr>
      <w:r>
        <w:t>Объект исследования — процессы разработки и сопровождения программных проектов с открытым исходным кодом.</w:t>
      </w:r>
    </w:p>
    <w:p>
      <w:pPr>
        <w:widowControl/>
        <w:spacing w:line="360" w:lineRule="auto" w:before="0" w:after="0"/>
        <w:ind w:firstLine="709"/>
        <w:jc w:val="both"/>
      </w:pPr>
      <w:r>
        <w:t>Предмет исследования — методы и показатели анализа этих процессов, используемые для формирования рекомендаций о применении открытых проектов с учётом рисков информационной безопасности.</w:t>
      </w:r>
    </w:p>
    <w:p>
      <w:pPr>
        <w:widowControl/>
        <w:spacing w:line="360" w:lineRule="auto" w:before="0" w:after="0"/>
        <w:ind w:firstLine="709"/>
        <w:jc w:val="both"/>
      </w:pPr>
      <w:r>
        <w:t>Методы работы — анализ научных публикаций и документов, сравнение программных средств и анализ метаданных репозиториев. Проверка предусматривает сверку данных с источниками и оценку соответствия рекомендаций правилам.</w:t>
      </w:r>
    </w:p>
    <w:p>
      <w:pPr>
        <w:widowControl/>
        <w:spacing w:line="360" w:lineRule="auto" w:before="0" w:after="0"/>
        <w:ind w:firstLine="709"/>
        <w:jc w:val="both"/>
      </w:pPr>
      <w:r>
        <w:t>Исследовательская составляющая — обоснование совместного использования технических и процессных сведений и формализация их связи с рекомендуемым действием. Вывод связывается с объектом анализа, источником и полнотой доступных данных.</w:t>
      </w:r>
    </w:p>
    <w:p>
      <w:pPr>
        <w:widowControl/>
        <w:spacing w:line="360" w:lineRule="auto" w:before="0" w:after="0"/>
        <w:ind w:firstLine="709"/>
        <w:jc w:val="both"/>
      </w:pPr>
      <w:r>
        <w:t>Практическая значимость состоит в создании программного средства, которое представляет сведения о проекте вместе с рекомендацией и её основаниями. Результат предназначен для разработчика или специалиста по информационной безопасности, выбирающего внешний компонент.</w:t>
      </w:r>
    </w:p>
    <w:p>
      <w:pPr>
        <w:widowControl/>
        <w:spacing w:line="360" w:lineRule="auto" w:before="0" w:after="0"/>
        <w:ind w:firstLine="709"/>
        <w:jc w:val="both"/>
      </w:pPr>
      <w:r>
        <w:t>В первой главе исследуются проблема выбора открытых проектов, существующие средства и близкие научные подходы. Результаты сравнения определяют требования к системе и направление её дальнейшей разработки.</w:t>
      </w:r>
    </w:p>
    <w:p>
      <w:pPr>
        <w:pStyle w:val="Heading1"/>
        <w:keepNext/>
        <w:keepLines/>
        <w:pageBreakBefore/>
        <w:widowControl/>
        <w:spacing w:before="0" w:line="360" w:lineRule="auto" w:after="280"/>
        <w:ind w:firstLine="709"/>
        <w:jc w:val="left"/>
      </w:pPr>
      <w:bookmarkStart w:id="2" w:name="_toc_chapter"/>
      <w:r>
        <w:rPr>
          <w:rFonts w:ascii="Times New Roman" w:hAnsi="Times New Roman"/>
          <w:b/>
          <w:color w:val="000000"/>
          <w:sz w:val="28"/>
        </w:rPr>
        <w:t>1 Исследовательский раздел</w:t>
      </w:r>
      <w:bookmarkEnd w:id="2"/>
    </w:p>
    <w:p>
      <w:pPr>
        <w:pStyle w:val="Heading2"/>
        <w:keepNext/>
        <w:keepLines/>
        <w:pageBreakBefore w:val="0"/>
        <w:widowControl/>
        <w:spacing w:line="360" w:lineRule="auto" w:before="280" w:after="280"/>
        <w:ind w:firstLine="709"/>
        <w:jc w:val="left"/>
      </w:pPr>
      <w:bookmarkStart w:id="3" w:name="_toc_s11"/>
      <w:r>
        <w:rPr>
          <w:rFonts w:ascii="Times New Roman" w:hAnsi="Times New Roman"/>
          <w:b/>
          <w:color w:val="000000"/>
          <w:sz w:val="28"/>
        </w:rPr>
        <w:t>1.1 Проблема выбора открытых проектов с учётом рисков информационной безопасности</w:t>
      </w:r>
      <w:bookmarkEnd w:id="3"/>
    </w:p>
    <w:p>
      <w:pPr>
        <w:keepNext w:val="0"/>
        <w:keepLines w:val="0"/>
        <w:pageBreakBefore w:val="0"/>
        <w:widowControl/>
        <w:spacing w:line="360" w:lineRule="auto" w:before="0" w:after="0"/>
        <w:ind w:firstLine="709"/>
        <w:jc w:val="both"/>
      </w:pPr>
      <w:r>
        <w:rPr>
          <w:rFonts w:ascii="Times New Roman" w:hAnsi="Times New Roman"/>
          <w:b w:val="0"/>
          <w:color w:val="000000"/>
          <w:sz w:val="28"/>
        </w:rPr>
        <w:t>Включение открытого компонента в собственную систему требует оценки его безопасности и условий дальнейшего сопровождения. Пользователь должен определить, допустимо ли использовать выбранный проект и какие проверки нужны до внедрения. Особое значение имеет риск попадания бэкдора через код, зависимость или выпуск: поиск известных уязвимостей не устанавливает защищённость процесса от новых вредоносных изменений.</w:t>
      </w:r>
    </w:p>
    <w:p>
      <w:pPr>
        <w:keepNext w:val="0"/>
        <w:keepLines w:val="0"/>
        <w:pageBreakBefore w:val="0"/>
        <w:widowControl/>
        <w:spacing w:line="360" w:lineRule="auto" w:before="0" w:after="0"/>
        <w:ind w:firstLine="709"/>
        <w:jc w:val="both"/>
      </w:pPr>
      <w:r>
        <w:rPr>
          <w:rFonts w:ascii="Times New Roman" w:hAnsi="Times New Roman"/>
          <w:b w:val="0"/>
          <w:color w:val="000000"/>
          <w:sz w:val="28"/>
        </w:rPr>
        <w:t>Проблема исследования заключается в недостаточности отдельных технических и организационных показателей для обоснованной рекомендации об использовании открытого проекта. Для решения требуется связать сведения о коде и зависимостях с практиками безопасной разработки, историей вкладов и распределением контроля. Результат анализа должен помогать выбрать действие и объяснять его основания.</w:t>
      </w:r>
    </w:p>
    <w:p>
      <w:pPr>
        <w:keepNext w:val="0"/>
        <w:keepLines w:val="0"/>
        <w:pageBreakBefore w:val="0"/>
        <w:widowControl/>
        <w:spacing w:line="360" w:lineRule="auto" w:before="0" w:after="0"/>
        <w:ind w:firstLine="709"/>
        <w:jc w:val="both"/>
      </w:pPr>
      <w:r>
        <w:rPr>
          <w:rFonts w:ascii="Times New Roman" w:hAnsi="Times New Roman"/>
          <w:b w:val="0"/>
          <w:color w:val="000000"/>
          <w:sz w:val="28"/>
        </w:rPr>
        <w:t>Под качеством процессов разработки понимаются характеристики принятия изменений, проверки кода, подготовки выпусков и сопровождения, значимые для информационной безопасности потребителя. Методическую основу задаёт NIST SSDF 1.1: подготовка организации, защита программного обеспечения, безопасная разработка и реагирование на уязвимости [1]. В центре анализа находится связь наблюдаемых практик с условиями безопасного использования компонента.</w:t>
      </w:r>
    </w:p>
    <w:p>
      <w:pPr>
        <w:keepNext w:val="0"/>
        <w:keepLines w:val="0"/>
        <w:pageBreakBefore w:val="0"/>
        <w:widowControl/>
        <w:spacing w:line="360" w:lineRule="auto" w:before="0" w:after="0"/>
        <w:ind w:firstLine="709"/>
        <w:jc w:val="both"/>
      </w:pPr>
      <w:r>
        <w:rPr>
          <w:rFonts w:ascii="Times New Roman" w:hAnsi="Times New Roman"/>
          <w:b w:val="0"/>
          <w:color w:val="000000"/>
          <w:sz w:val="28"/>
        </w:rPr>
        <w:t>Открытый репозиторий предоставляет исходный код и часть истории изменений, однако обсуждения, проверки и решения о выпуске могут находиться на других площадках. Поэтому внешний анализ ограничен доступными наблюдениями. Отсутствие публичного подтверждения практики ещё не означает её отсутствия в действительности.</w:t>
      </w:r>
    </w:p>
    <w:p>
      <w:pPr>
        <w:keepNext w:val="0"/>
        <w:keepLines w:val="0"/>
        <w:pageBreakBefore w:val="0"/>
        <w:widowControl/>
        <w:spacing w:line="360" w:lineRule="auto" w:before="0" w:after="0"/>
        <w:ind w:firstLine="709"/>
        <w:jc w:val="both"/>
      </w:pPr>
      <w:r>
        <w:rPr>
          <w:rFonts w:ascii="Times New Roman" w:hAnsi="Times New Roman"/>
          <w:b w:val="0"/>
          <w:color w:val="000000"/>
          <w:sz w:val="28"/>
        </w:rPr>
        <w:t>Следует различать проект как процесс и сообщество, конкретную версию исходного кода и распространяемый артефакт. Активное сопровождение не устраняет уязвимость используемой версии, а отсутствие известных уязвимостей не характеризует порядок её подготовки. Вывод о текущей ветви нельзя автоматически переносить на ранее опубликованный пакет.</w:t>
      </w:r>
    </w:p>
    <w:p>
      <w:pPr>
        <w:keepNext w:val="0"/>
        <w:keepLines w:val="0"/>
        <w:pageBreakBefore w:val="0"/>
        <w:widowControl/>
        <w:spacing w:line="360" w:lineRule="auto" w:before="0" w:after="0"/>
        <w:ind w:firstLine="709"/>
        <w:jc w:val="both"/>
      </w:pPr>
      <w:r>
        <w:rPr>
          <w:rFonts w:ascii="Times New Roman" w:hAnsi="Times New Roman"/>
          <w:b w:val="0"/>
          <w:color w:val="000000"/>
          <w:sz w:val="28"/>
        </w:rPr>
        <w:t>Основной пользователь — разработчик или специалист по информационной безопасности, выбирающий внешний компонент. Ему требуется решить, рассматривать ли проект для использования, провести дополнительную проверку или отложить внедрение. Для сопровождающего результаты могут также служить основанием для улучшения практик.</w:t>
      </w:r>
    </w:p>
    <w:p>
      <w:pPr>
        <w:keepNext w:val="0"/>
        <w:keepLines w:val="0"/>
        <w:pageBreakBefore w:val="0"/>
        <w:widowControl/>
        <w:spacing w:line="360" w:lineRule="auto" w:before="0" w:after="0"/>
        <w:ind w:firstLine="709"/>
        <w:jc w:val="both"/>
      </w:pPr>
      <w:r>
        <w:rPr>
          <w:rFonts w:ascii="Times New Roman" w:hAnsi="Times New Roman"/>
          <w:b w:val="0"/>
          <w:color w:val="000000"/>
          <w:sz w:val="28"/>
        </w:rPr>
        <w:t>Значение находки зависит от назначения компонента, версии, прав и условий эксплуатации. Изолированная утилита и библиотека сервиса с конфиденциальными данными создают разные последствия. OWASP SCVS связывает принятие риска с условиями применения и ресурсами организации [2]. Если контекст неизвестен, рекомендация должна указывать принятые предположения.</w:t>
      </w:r>
    </w:p>
    <w:p>
      <w:pPr>
        <w:keepNext w:val="0"/>
        <w:keepLines w:val="0"/>
        <w:pageBreakBefore w:val="0"/>
        <w:widowControl/>
        <w:spacing w:line="360" w:lineRule="auto" w:before="0" w:after="0"/>
        <w:ind w:firstLine="709"/>
        <w:jc w:val="both"/>
      </w:pPr>
      <w:r>
        <w:rPr>
          <w:rFonts w:ascii="Times New Roman" w:hAnsi="Times New Roman"/>
          <w:b w:val="0"/>
          <w:color w:val="000000"/>
          <w:sz w:val="28"/>
        </w:rPr>
        <w:t>Масштаб проблемы связан с косвенным доверием к зависимостям. В исследовании Zimmermann и соавторов средний пакет npm транзитивно опирался на код примерно 40 сопровождающих; срез завершался в апреле 2018 года [3]. Ohm и соавторы проанализировали 174 вредоносных пакета npm, PyPI и RubyGems за ноябрь 2015 — ноябрь 2019 года [4]. Эти исторические данные показывают многоступенчатое доверие и наличие намеренно вредоносных компонентов, но не определяют современную долю заражённых проектов.</w:t>
      </w:r>
    </w:p>
    <w:p>
      <w:pPr>
        <w:keepNext w:val="0"/>
        <w:keepLines w:val="0"/>
        <w:pageBreakBefore w:val="0"/>
        <w:widowControl/>
        <w:spacing w:line="360" w:lineRule="auto" w:before="0" w:after="0"/>
        <w:ind w:firstLine="709"/>
        <w:jc w:val="both"/>
      </w:pPr>
      <w:r>
        <w:rPr>
          <w:rFonts w:ascii="Times New Roman" w:hAnsi="Times New Roman"/>
          <w:b w:val="0"/>
          <w:color w:val="000000"/>
          <w:sz w:val="28"/>
        </w:rPr>
        <w:t>При рассмотрении угроз важно различать известную уязвимость и намеренно внедрённый скрытый механизм. Бэкдор рассматривается как скрытый механизм несанкционированных действий или обхода ограничений. Он может быть внесён намеренно и не обязательно соответствует известной уязвимости. Вредоносное изменение может попасть в продукт через код, зависимость, инфраструктуру сборки или канал публикации. SLSA разделяет угрозы целостности исходного кода, сборки и распространения [5].</w:t>
      </w:r>
    </w:p>
    <w:p>
      <w:pPr>
        <w:keepNext w:val="0"/>
        <w:keepLines w:val="0"/>
        <w:pageBreakBefore w:val="0"/>
        <w:widowControl/>
        <w:spacing w:line="360" w:lineRule="auto" w:before="0" w:after="0"/>
        <w:ind w:firstLine="709"/>
        <w:jc w:val="both"/>
      </w:pPr>
      <w:r>
        <w:rPr>
          <w:rFonts w:ascii="Times New Roman" w:hAnsi="Times New Roman"/>
          <w:b w:val="0"/>
          <w:color w:val="000000"/>
          <w:sz w:val="28"/>
        </w:rPr>
        <w:t>При принятии изменений важны управление правами и независимая проверка, при сборке и публикации — целостность входных данных и связь артефакта с проверенным кодом. Компрометация учётной записи или обход проверок позволяют провести опасное изменение через обычный процесс. Поэтому настройки контроля следует рассматривать вместе с историей их применения.</w:t>
      </w:r>
    </w:p>
    <w:p>
      <w:pPr>
        <w:keepNext w:val="0"/>
        <w:keepLines w:val="0"/>
        <w:pageBreakBefore w:val="0"/>
        <w:widowControl/>
        <w:spacing w:line="360" w:lineRule="auto" w:before="0" w:after="0"/>
        <w:ind w:firstLine="709"/>
        <w:jc w:val="both"/>
      </w:pPr>
      <w:r>
        <w:rPr>
          <w:rFonts w:ascii="Times New Roman" w:hAnsi="Times New Roman"/>
          <w:b w:val="0"/>
          <w:color w:val="000000"/>
          <w:sz w:val="28"/>
        </w:rPr>
        <w:t>Примером служит инцидент XZ Utils, раскрытый Андресом Фройндом 29 марта 2024 года. В выпусках 5.6.0 и 5.6.1 часть вредоносного механизма находилась в распространяемых архивах и отсутствовала в соответствующем файле репозитория [6]. Случай обосновывает проверку конкретного выпуска, его происхождения и связи с опубликованным исходным кодом.</w:t>
      </w:r>
    </w:p>
    <w:p>
      <w:pPr>
        <w:keepNext w:val="0"/>
        <w:keepLines w:val="0"/>
        <w:pageBreakBefore w:val="0"/>
        <w:widowControl/>
        <w:spacing w:line="360" w:lineRule="auto" w:before="0" w:after="0"/>
        <w:ind w:firstLine="709"/>
        <w:jc w:val="both"/>
      </w:pPr>
      <w:r>
        <w:rPr>
          <w:rFonts w:ascii="Times New Roman" w:hAnsi="Times New Roman"/>
          <w:b w:val="0"/>
          <w:color w:val="000000"/>
          <w:sz w:val="28"/>
        </w:rPr>
        <w:t>SLSA 1.2 разграничивает состояние репозитория, процесс сборки и свидетельства о происхождении артефакта [7]. Для оценки это означает, что установленная связь выпуска с исходным кодом подтверждает происхождение, но не корректность содержимого. Эти виды свидетельств должны сохранять самостоятельный смысл.</w:t>
      </w:r>
    </w:p>
    <w:p>
      <w:pPr>
        <w:keepNext w:val="0"/>
        <w:keepLines w:val="0"/>
        <w:pageBreakBefore w:val="0"/>
        <w:widowControl/>
        <w:spacing w:line="360" w:lineRule="auto" w:before="0" w:after="0"/>
        <w:ind w:firstLine="709"/>
        <w:jc w:val="both"/>
      </w:pPr>
      <w:r>
        <w:rPr>
          <w:rFonts w:ascii="Times New Roman" w:hAnsi="Times New Roman"/>
          <w:b w:val="0"/>
          <w:color w:val="000000"/>
          <w:sz w:val="28"/>
        </w:rPr>
        <w:t>Для анализа зависимостей нужен перечень фактически используемых пакетов и версий, включая транзитивные. Его получают из файлов зависимостей, результатов сборки или спецификации состава — SBOM. OWASP SCVS рассматривает точный состав как исходное условие проверки [8]. Неполнота перечня ограничивает выводы об отсутствии проблем.</w:t>
      </w:r>
    </w:p>
    <w:p>
      <w:pPr>
        <w:keepNext w:val="0"/>
        <w:keepLines w:val="0"/>
        <w:pageBreakBefore w:val="0"/>
        <w:widowControl/>
        <w:spacing w:line="360" w:lineRule="auto" w:before="0" w:after="0"/>
        <w:ind w:firstLine="709"/>
        <w:jc w:val="both"/>
      </w:pPr>
      <w:r>
        <w:rPr>
          <w:rFonts w:ascii="Times New Roman" w:hAnsi="Times New Roman"/>
          <w:b w:val="0"/>
          <w:color w:val="000000"/>
          <w:sz w:val="28"/>
        </w:rPr>
        <w:t>Концентрация знаний и полномочий может затруднить независимое ревью и сопровождение после ухода ключевых участников. При этом небольшой размер команды сам по себе не указывает на злой умысел. CHAOSS предлагает рассматривать устойчивость участия с учётом динамики сообщества и разных видов вклада [9].</w:t>
      </w:r>
    </w:p>
    <w:p>
      <w:pPr>
        <w:keepNext w:val="0"/>
        <w:keepLines w:val="0"/>
        <w:pageBreakBefore w:val="0"/>
        <w:widowControl/>
        <w:spacing w:line="360" w:lineRule="auto" w:before="0" w:after="0"/>
        <w:ind w:firstLine="709"/>
        <w:jc w:val="both"/>
      </w:pPr>
      <w:r>
        <w:rPr>
          <w:rFonts w:ascii="Times New Roman" w:hAnsi="Times New Roman"/>
          <w:b w:val="0"/>
          <w:color w:val="000000"/>
          <w:sz w:val="28"/>
        </w:rPr>
        <w:t>Факторы риска и доступные основания проверки представлены в таблице 1.1. Недостаток контроля указывает на условия возможной проблемы; подтверждение бэкдора требует анализа соответствующего изменения или артефакта.</w:t>
      </w:r>
    </w:p>
    <w:p>
      <w:pPr>
        <w:keepNext/>
        <w:keepLines w:val="0"/>
        <w:pageBreakBefore w:val="0"/>
        <w:widowControl/>
        <w:spacing w:before="160" w:after="120" w:line="240" w:lineRule="auto"/>
        <w:ind w:firstLine="0"/>
        <w:jc w:val="left"/>
      </w:pPr>
      <w:r>
        <w:rPr>
          <w:rFonts w:ascii="Times New Roman" w:hAnsi="Times New Roman"/>
          <w:b w:val="0"/>
          <w:color w:val="000000"/>
          <w:sz w:val="28"/>
        </w:rPr>
        <w:t>Таблица 1.1 — Факторы риска и проверки открытых проектов</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587"/>
        <w:gridCol w:w="2211"/>
        <w:gridCol w:w="2721"/>
        <w:gridCol w:w="2835"/>
      </w:tblGrid>
      <w:tr>
        <w:trPr>
          <w:cantSplit/>
          <w:tblHeader/>
        </w:trPr>
        <w:tc>
          <w:tcPr>
            <w:tcW w:type="dxa" w:w="1587"/>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color w:val="000000"/>
                <w:sz w:val="24"/>
              </w:rPr>
              <w:t>Область</w:t>
            </w:r>
          </w:p>
        </w:tc>
        <w:tc>
          <w:tcPr>
            <w:tcW w:type="dxa" w:w="2211"/>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color w:val="000000"/>
                <w:sz w:val="24"/>
              </w:rPr>
              <w:t>Фактор риска</w:t>
            </w:r>
          </w:p>
        </w:tc>
        <w:tc>
          <w:tcPr>
            <w:tcW w:type="dxa" w:w="2721"/>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color w:val="000000"/>
                <w:sz w:val="24"/>
              </w:rPr>
              <w:t>Доступное свидетельство</w:t>
            </w:r>
          </w:p>
        </w:tc>
        <w:tc>
          <w:tcPr>
            <w:tcW w:type="dxa" w:w="2835"/>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color w:val="000000"/>
                <w:sz w:val="24"/>
              </w:rPr>
              <w:t>Что проверить перед использованием</w:t>
            </w:r>
          </w:p>
        </w:tc>
      </w:tr>
      <w:tr>
        <w:trPr>
          <w:cantSplit/>
        </w:trPr>
        <w:tc>
          <w:tcPr>
            <w:tcW w:type="dxa" w:w="1587"/>
            <w:vAlign w:val="center"/>
            <w:tcMar>
              <w:top w:w="70" w:type="dxa"/>
              <w:bottom w:w="70" w:type="dxa"/>
              <w:left w:w="85" w:type="dxa"/>
              <w:right w:w="85" w:type="dxa"/>
            </w:tcMar>
          </w:tcPr>
          <w:p>
            <w:pPr>
              <w:keepNext/>
              <w:keepLines/>
              <w:spacing w:line="240" w:lineRule="auto" w:before="0" w:after="0"/>
              <w:ind w:firstLine="0"/>
              <w:jc w:val="left"/>
            </w:pPr>
            <w:r>
              <w:rPr>
                <w:rFonts w:ascii="Times New Roman" w:hAnsi="Times New Roman"/>
                <w:b w:val="0"/>
                <w:color w:val="000000"/>
                <w:sz w:val="24"/>
              </w:rPr>
              <w:t>Изменение кода</w:t>
            </w:r>
          </w:p>
        </w:tc>
        <w:tc>
          <w:tcPr>
            <w:tcW w:type="dxa" w:w="2211"/>
            <w:vAlign w:val="center"/>
            <w:tcMar>
              <w:top w:w="70" w:type="dxa"/>
              <w:bottom w:w="70" w:type="dxa"/>
              <w:left w:w="85" w:type="dxa"/>
              <w:right w:w="85" w:type="dxa"/>
            </w:tcMar>
          </w:tcPr>
          <w:p>
            <w:pPr>
              <w:keepNext/>
              <w:keepLines/>
              <w:spacing w:line="240" w:lineRule="auto" w:before="0" w:after="0"/>
              <w:ind w:firstLine="0"/>
              <w:jc w:val="left"/>
            </w:pPr>
            <w:r>
              <w:rPr>
                <w:rFonts w:ascii="Times New Roman" w:hAnsi="Times New Roman"/>
                <w:b w:val="0"/>
                <w:color w:val="000000"/>
                <w:sz w:val="24"/>
              </w:rPr>
              <w:t>Обход проверки</w:t>
            </w:r>
          </w:p>
        </w:tc>
        <w:tc>
          <w:tcPr>
            <w:tcW w:type="dxa" w:w="2721"/>
            <w:vAlign w:val="center"/>
            <w:tcMar>
              <w:top w:w="70" w:type="dxa"/>
              <w:bottom w:w="70" w:type="dxa"/>
              <w:left w:w="85" w:type="dxa"/>
              <w:right w:w="85" w:type="dxa"/>
            </w:tcMar>
          </w:tcPr>
          <w:p>
            <w:pPr>
              <w:keepNext/>
              <w:keepLines/>
              <w:spacing w:line="240" w:lineRule="auto" w:before="0" w:after="0"/>
              <w:ind w:firstLine="0"/>
              <w:jc w:val="left"/>
            </w:pPr>
            <w:r>
              <w:rPr>
                <w:rFonts w:ascii="Times New Roman" w:hAnsi="Times New Roman"/>
                <w:b w:val="0"/>
                <w:color w:val="000000"/>
                <w:sz w:val="24"/>
              </w:rPr>
              <w:t>Правила принятия, ревью, слияния</w:t>
            </w:r>
          </w:p>
        </w:tc>
        <w:tc>
          <w:tcPr>
            <w:tcW w:type="dxa" w:w="2835"/>
            <w:vAlign w:val="center"/>
            <w:tcMar>
              <w:top w:w="70" w:type="dxa"/>
              <w:bottom w:w="70" w:type="dxa"/>
              <w:left w:w="85" w:type="dxa"/>
              <w:right w:w="85" w:type="dxa"/>
            </w:tcMar>
          </w:tcPr>
          <w:p>
            <w:pPr>
              <w:keepNext/>
              <w:keepLines/>
              <w:spacing w:line="240" w:lineRule="auto" w:before="0" w:after="0"/>
              <w:ind w:firstLine="0"/>
              <w:jc w:val="left"/>
            </w:pPr>
            <w:r>
              <w:rPr>
                <w:rFonts w:ascii="Times New Roman" w:hAnsi="Times New Roman"/>
                <w:b w:val="0"/>
                <w:color w:val="000000"/>
                <w:sz w:val="24"/>
              </w:rPr>
              <w:t>Независимость проверки изменений</w:t>
            </w:r>
          </w:p>
        </w:tc>
      </w:tr>
      <w:tr>
        <w:trPr>
          <w:cantSplit/>
        </w:trPr>
        <w:tc>
          <w:tcPr>
            <w:tcW w:type="dxa" w:w="1587"/>
            <w:vAlign w:val="center"/>
            <w:tcMar>
              <w:top w:w="70" w:type="dxa"/>
              <w:bottom w:w="70" w:type="dxa"/>
              <w:left w:w="85" w:type="dxa"/>
              <w:right w:w="85" w:type="dxa"/>
            </w:tcMar>
          </w:tcPr>
          <w:p>
            <w:pPr>
              <w:keepNext/>
              <w:keepLines/>
              <w:spacing w:line="240" w:lineRule="auto" w:before="0" w:after="0"/>
              <w:ind w:firstLine="0"/>
              <w:jc w:val="left"/>
            </w:pPr>
            <w:r>
              <w:rPr>
                <w:rFonts w:ascii="Times New Roman" w:hAnsi="Times New Roman"/>
                <w:b w:val="0"/>
                <w:color w:val="000000"/>
                <w:sz w:val="24"/>
              </w:rPr>
              <w:t>Проверка кода</w:t>
            </w:r>
          </w:p>
        </w:tc>
        <w:tc>
          <w:tcPr>
            <w:tcW w:type="dxa" w:w="2211"/>
            <w:vAlign w:val="center"/>
            <w:tcMar>
              <w:top w:w="70" w:type="dxa"/>
              <w:bottom w:w="70" w:type="dxa"/>
              <w:left w:w="85" w:type="dxa"/>
              <w:right w:w="85" w:type="dxa"/>
            </w:tcMar>
          </w:tcPr>
          <w:p>
            <w:pPr>
              <w:keepNext/>
              <w:keepLines/>
              <w:spacing w:line="240" w:lineRule="auto" w:before="0" w:after="0"/>
              <w:ind w:firstLine="0"/>
              <w:jc w:val="left"/>
            </w:pPr>
            <w:r>
              <w:rPr>
                <w:rFonts w:ascii="Times New Roman" w:hAnsi="Times New Roman"/>
                <w:b w:val="0"/>
                <w:color w:val="000000"/>
                <w:sz w:val="24"/>
              </w:rPr>
              <w:t>Невыявленные опасные изменения</w:t>
            </w:r>
          </w:p>
        </w:tc>
        <w:tc>
          <w:tcPr>
            <w:tcW w:type="dxa" w:w="2721"/>
            <w:vAlign w:val="center"/>
            <w:tcMar>
              <w:top w:w="70" w:type="dxa"/>
              <w:bottom w:w="70" w:type="dxa"/>
              <w:left w:w="85" w:type="dxa"/>
              <w:right w:w="85" w:type="dxa"/>
            </w:tcMar>
          </w:tcPr>
          <w:p>
            <w:pPr>
              <w:keepNext/>
              <w:keepLines/>
              <w:spacing w:line="240" w:lineRule="auto" w:before="0" w:after="0"/>
              <w:ind w:firstLine="0"/>
              <w:jc w:val="left"/>
            </w:pPr>
            <w:r>
              <w:rPr>
                <w:rFonts w:ascii="Times New Roman" w:hAnsi="Times New Roman"/>
                <w:b w:val="0"/>
                <w:color w:val="000000"/>
                <w:sz w:val="24"/>
              </w:rPr>
              <w:t>Тесты, результаты SAST</w:t>
            </w:r>
          </w:p>
        </w:tc>
        <w:tc>
          <w:tcPr>
            <w:tcW w:type="dxa" w:w="2835"/>
            <w:vAlign w:val="center"/>
            <w:tcMar>
              <w:top w:w="70" w:type="dxa"/>
              <w:bottom w:w="70" w:type="dxa"/>
              <w:left w:w="85" w:type="dxa"/>
              <w:right w:w="85" w:type="dxa"/>
            </w:tcMar>
          </w:tcPr>
          <w:p>
            <w:pPr>
              <w:keepNext/>
              <w:keepLines/>
              <w:spacing w:line="240" w:lineRule="auto" w:before="0" w:after="0"/>
              <w:ind w:firstLine="0"/>
              <w:jc w:val="left"/>
            </w:pPr>
            <w:r>
              <w:rPr>
                <w:rFonts w:ascii="Times New Roman" w:hAnsi="Times New Roman"/>
                <w:b w:val="0"/>
                <w:color w:val="000000"/>
                <w:sz w:val="24"/>
              </w:rPr>
              <w:t>Значение находок для выбранной версии</w:t>
            </w:r>
          </w:p>
        </w:tc>
      </w:tr>
      <w:tr>
        <w:trPr>
          <w:cantSplit/>
        </w:trPr>
        <w:tc>
          <w:tcPr>
            <w:tcW w:type="dxa" w:w="1587"/>
            <w:vAlign w:val="center"/>
            <w:tcMar>
              <w:top w:w="70" w:type="dxa"/>
              <w:bottom w:w="70" w:type="dxa"/>
              <w:left w:w="85" w:type="dxa"/>
              <w:right w:w="85" w:type="dxa"/>
            </w:tcMar>
          </w:tcPr>
          <w:p>
            <w:pPr>
              <w:keepNext/>
              <w:keepLines/>
              <w:spacing w:line="240" w:lineRule="auto" w:before="0" w:after="0"/>
              <w:ind w:firstLine="0"/>
              <w:jc w:val="left"/>
            </w:pPr>
            <w:r>
              <w:rPr>
                <w:rFonts w:ascii="Times New Roman" w:hAnsi="Times New Roman"/>
                <w:b w:val="0"/>
                <w:color w:val="000000"/>
                <w:sz w:val="24"/>
              </w:rPr>
              <w:t>Зависимости</w:t>
            </w:r>
          </w:p>
        </w:tc>
        <w:tc>
          <w:tcPr>
            <w:tcW w:type="dxa" w:w="2211"/>
            <w:vAlign w:val="center"/>
            <w:tcMar>
              <w:top w:w="70" w:type="dxa"/>
              <w:bottom w:w="70" w:type="dxa"/>
              <w:left w:w="85" w:type="dxa"/>
              <w:right w:w="85" w:type="dxa"/>
            </w:tcMar>
          </w:tcPr>
          <w:p>
            <w:pPr>
              <w:keepNext/>
              <w:keepLines/>
              <w:spacing w:line="240" w:lineRule="auto" w:before="0" w:after="0"/>
              <w:ind w:firstLine="0"/>
              <w:jc w:val="left"/>
            </w:pPr>
            <w:r>
              <w:rPr>
                <w:rFonts w:ascii="Times New Roman" w:hAnsi="Times New Roman"/>
                <w:b w:val="0"/>
                <w:color w:val="000000"/>
                <w:sz w:val="24"/>
              </w:rPr>
              <w:t>Опасные компоненты</w:t>
            </w:r>
          </w:p>
        </w:tc>
        <w:tc>
          <w:tcPr>
            <w:tcW w:type="dxa" w:w="2721"/>
            <w:vAlign w:val="center"/>
            <w:tcMar>
              <w:top w:w="70" w:type="dxa"/>
              <w:bottom w:w="70" w:type="dxa"/>
              <w:left w:w="85" w:type="dxa"/>
              <w:right w:w="85" w:type="dxa"/>
            </w:tcMar>
          </w:tcPr>
          <w:p>
            <w:pPr>
              <w:keepNext/>
              <w:keepLines/>
              <w:spacing w:line="240" w:lineRule="auto" w:before="0" w:after="0"/>
              <w:ind w:firstLine="0"/>
              <w:jc w:val="left"/>
            </w:pPr>
            <w:r>
              <w:rPr>
                <w:rFonts w:ascii="Times New Roman" w:hAnsi="Times New Roman"/>
                <w:b w:val="0"/>
                <w:color w:val="000000"/>
                <w:sz w:val="24"/>
              </w:rPr>
              <w:t>Состав, версии, предупреждения</w:t>
            </w:r>
          </w:p>
        </w:tc>
        <w:tc>
          <w:tcPr>
            <w:tcW w:type="dxa" w:w="2835"/>
            <w:vAlign w:val="center"/>
            <w:tcMar>
              <w:top w:w="70" w:type="dxa"/>
              <w:bottom w:w="70" w:type="dxa"/>
              <w:left w:w="85" w:type="dxa"/>
              <w:right w:w="85" w:type="dxa"/>
            </w:tcMar>
          </w:tcPr>
          <w:p>
            <w:pPr>
              <w:keepNext/>
              <w:keepLines/>
              <w:spacing w:line="240" w:lineRule="auto" w:before="0" w:after="0"/>
              <w:ind w:firstLine="0"/>
              <w:jc w:val="left"/>
            </w:pPr>
            <w:r>
              <w:rPr>
                <w:rFonts w:ascii="Times New Roman" w:hAnsi="Times New Roman"/>
                <w:b w:val="0"/>
                <w:color w:val="000000"/>
                <w:sz w:val="24"/>
              </w:rPr>
              <w:t>Затронутые зависимости и варианты замены</w:t>
            </w:r>
          </w:p>
        </w:tc>
      </w:tr>
      <w:tr>
        <w:trPr>
          <w:cantSplit/>
        </w:trPr>
        <w:tc>
          <w:tcPr>
            <w:tcW w:type="dxa" w:w="1587"/>
            <w:vAlign w:val="center"/>
            <w:tcMar>
              <w:top w:w="70" w:type="dxa"/>
              <w:bottom w:w="70" w:type="dxa"/>
              <w:left w:w="85" w:type="dxa"/>
              <w:right w:w="85" w:type="dxa"/>
            </w:tcMar>
          </w:tcPr>
          <w:p>
            <w:pPr>
              <w:keepNext/>
              <w:keepLines/>
              <w:spacing w:line="240" w:lineRule="auto" w:before="0" w:after="0"/>
              <w:ind w:firstLine="0"/>
              <w:jc w:val="left"/>
            </w:pPr>
            <w:r>
              <w:rPr>
                <w:rFonts w:ascii="Times New Roman" w:hAnsi="Times New Roman"/>
                <w:b w:val="0"/>
                <w:color w:val="000000"/>
                <w:sz w:val="24"/>
              </w:rPr>
              <w:t>Сборка и выпуск</w:t>
            </w:r>
          </w:p>
        </w:tc>
        <w:tc>
          <w:tcPr>
            <w:tcW w:type="dxa" w:w="2211"/>
            <w:vAlign w:val="center"/>
            <w:tcMar>
              <w:top w:w="70" w:type="dxa"/>
              <w:bottom w:w="70" w:type="dxa"/>
              <w:left w:w="85" w:type="dxa"/>
              <w:right w:w="85" w:type="dxa"/>
            </w:tcMar>
          </w:tcPr>
          <w:p>
            <w:pPr>
              <w:keepNext/>
              <w:keepLines/>
              <w:spacing w:line="240" w:lineRule="auto" w:before="0" w:after="0"/>
              <w:ind w:firstLine="0"/>
              <w:jc w:val="left"/>
            </w:pPr>
            <w:r>
              <w:rPr>
                <w:rFonts w:ascii="Times New Roman" w:hAnsi="Times New Roman"/>
                <w:b w:val="0"/>
                <w:color w:val="000000"/>
                <w:sz w:val="24"/>
              </w:rPr>
              <w:t>Подмена артефакта</w:t>
            </w:r>
          </w:p>
        </w:tc>
        <w:tc>
          <w:tcPr>
            <w:tcW w:type="dxa" w:w="2721"/>
            <w:vAlign w:val="center"/>
            <w:tcMar>
              <w:top w:w="70" w:type="dxa"/>
              <w:bottom w:w="70" w:type="dxa"/>
              <w:left w:w="85" w:type="dxa"/>
              <w:right w:w="85" w:type="dxa"/>
            </w:tcMar>
          </w:tcPr>
          <w:p>
            <w:pPr>
              <w:keepNext/>
              <w:keepLines/>
              <w:spacing w:line="240" w:lineRule="auto" w:before="0" w:after="0"/>
              <w:ind w:firstLine="0"/>
              <w:jc w:val="left"/>
            </w:pPr>
            <w:r>
              <w:rPr>
                <w:rFonts w:ascii="Times New Roman" w:hAnsi="Times New Roman"/>
                <w:b w:val="0"/>
                <w:color w:val="000000"/>
                <w:sz w:val="24"/>
              </w:rPr>
              <w:t>Происхождение, параметры сборки</w:t>
            </w:r>
          </w:p>
        </w:tc>
        <w:tc>
          <w:tcPr>
            <w:tcW w:type="dxa" w:w="2835"/>
            <w:vAlign w:val="center"/>
            <w:tcMar>
              <w:top w:w="70" w:type="dxa"/>
              <w:bottom w:w="70" w:type="dxa"/>
              <w:left w:w="85" w:type="dxa"/>
              <w:right w:w="85" w:type="dxa"/>
            </w:tcMar>
          </w:tcPr>
          <w:p>
            <w:pPr>
              <w:keepNext/>
              <w:keepLines/>
              <w:spacing w:line="240" w:lineRule="auto" w:before="0" w:after="0"/>
              <w:ind w:firstLine="0"/>
              <w:jc w:val="left"/>
            </w:pPr>
            <w:r>
              <w:rPr>
                <w:rFonts w:ascii="Times New Roman" w:hAnsi="Times New Roman"/>
                <w:b w:val="0"/>
                <w:color w:val="000000"/>
                <w:sz w:val="24"/>
              </w:rPr>
              <w:t>Связь выпуска с проверенным кодом</w:t>
            </w:r>
          </w:p>
        </w:tc>
      </w:tr>
      <w:tr>
        <w:trPr>
          <w:cantSplit/>
        </w:trPr>
        <w:tc>
          <w:tcPr>
            <w:tcW w:type="dxa" w:w="1587"/>
            <w:vAlign w:val="center"/>
            <w:tcMar>
              <w:top w:w="70" w:type="dxa"/>
              <w:bottom w:w="70" w:type="dxa"/>
              <w:left w:w="85" w:type="dxa"/>
              <w:right w:w="85" w:type="dxa"/>
            </w:tcMar>
          </w:tcPr>
          <w:p>
            <w:pPr>
              <w:keepNext/>
              <w:keepLines/>
              <w:spacing w:line="240" w:lineRule="auto" w:before="0" w:after="0"/>
              <w:ind w:firstLine="0"/>
              <w:jc w:val="left"/>
            </w:pPr>
            <w:r>
              <w:rPr>
                <w:rFonts w:ascii="Times New Roman" w:hAnsi="Times New Roman"/>
                <w:b w:val="0"/>
                <w:color w:val="000000"/>
                <w:sz w:val="24"/>
              </w:rPr>
              <w:t>Поддержка</w:t>
            </w:r>
          </w:p>
        </w:tc>
        <w:tc>
          <w:tcPr>
            <w:tcW w:type="dxa" w:w="2211"/>
            <w:vAlign w:val="center"/>
            <w:tcMar>
              <w:top w:w="70" w:type="dxa"/>
              <w:bottom w:w="70" w:type="dxa"/>
              <w:left w:w="85" w:type="dxa"/>
              <w:right w:w="85" w:type="dxa"/>
            </w:tcMar>
          </w:tcPr>
          <w:p>
            <w:pPr>
              <w:keepNext/>
              <w:keepLines/>
              <w:spacing w:line="240" w:lineRule="auto" w:before="0" w:after="0"/>
              <w:ind w:firstLine="0"/>
              <w:jc w:val="left"/>
            </w:pPr>
            <w:r>
              <w:rPr>
                <w:rFonts w:ascii="Times New Roman" w:hAnsi="Times New Roman"/>
                <w:b w:val="0"/>
                <w:color w:val="000000"/>
                <w:sz w:val="24"/>
              </w:rPr>
              <w:t>Задержка исправлений</w:t>
            </w:r>
          </w:p>
        </w:tc>
        <w:tc>
          <w:tcPr>
            <w:tcW w:type="dxa" w:w="2721"/>
            <w:vAlign w:val="center"/>
            <w:tcMar>
              <w:top w:w="70" w:type="dxa"/>
              <w:bottom w:w="70" w:type="dxa"/>
              <w:left w:w="85" w:type="dxa"/>
              <w:right w:w="85" w:type="dxa"/>
            </w:tcMar>
          </w:tcPr>
          <w:p>
            <w:pPr>
              <w:keepNext/>
              <w:keepLines/>
              <w:spacing w:line="240" w:lineRule="auto" w:before="0" w:after="0"/>
              <w:ind w:firstLine="0"/>
              <w:jc w:val="left"/>
            </w:pPr>
            <w:r>
              <w:rPr>
                <w:rFonts w:ascii="Times New Roman" w:hAnsi="Times New Roman"/>
                <w:b w:val="0"/>
                <w:color w:val="000000"/>
                <w:sz w:val="24"/>
              </w:rPr>
              <w:t>Канал сообщений, история исправлений</w:t>
            </w:r>
          </w:p>
        </w:tc>
        <w:tc>
          <w:tcPr>
            <w:tcW w:type="dxa" w:w="2835"/>
            <w:vAlign w:val="center"/>
            <w:tcMar>
              <w:top w:w="70" w:type="dxa"/>
              <w:bottom w:w="70" w:type="dxa"/>
              <w:left w:w="85" w:type="dxa"/>
              <w:right w:w="85" w:type="dxa"/>
            </w:tcMar>
          </w:tcPr>
          <w:p>
            <w:pPr>
              <w:keepNext/>
              <w:keepLines/>
              <w:spacing w:line="240" w:lineRule="auto" w:before="0" w:after="0"/>
              <w:ind w:firstLine="0"/>
              <w:jc w:val="left"/>
            </w:pPr>
            <w:r>
              <w:rPr>
                <w:rFonts w:ascii="Times New Roman" w:hAnsi="Times New Roman"/>
                <w:b w:val="0"/>
                <w:color w:val="000000"/>
                <w:sz w:val="24"/>
              </w:rPr>
              <w:t>Возможность получать исправления</w:t>
            </w:r>
          </w:p>
        </w:tc>
      </w:tr>
      <w:tr>
        <w:trPr>
          <w:cantSplit/>
        </w:trPr>
        <w:tc>
          <w:tcPr>
            <w:tcW w:type="dxa" w:w="1587"/>
            <w:vAlign w:val="center"/>
            <w:tcMar>
              <w:top w:w="70" w:type="dxa"/>
              <w:bottom w:w="70" w:type="dxa"/>
              <w:left w:w="85" w:type="dxa"/>
              <w:right w:w="85" w:type="dxa"/>
            </w:tcMar>
          </w:tcPr>
          <w:p>
            <w:pPr>
              <w:keepNext w:val="0"/>
              <w:keepLines/>
              <w:spacing w:line="240" w:lineRule="auto" w:before="0" w:after="0"/>
              <w:ind w:firstLine="0"/>
              <w:jc w:val="left"/>
            </w:pPr>
            <w:r>
              <w:rPr>
                <w:rFonts w:ascii="Times New Roman" w:hAnsi="Times New Roman"/>
                <w:b w:val="0"/>
                <w:color w:val="000000"/>
                <w:sz w:val="24"/>
              </w:rPr>
              <w:t>Участие</w:t>
            </w:r>
          </w:p>
        </w:tc>
        <w:tc>
          <w:tcPr>
            <w:tcW w:type="dxa" w:w="2211"/>
            <w:vAlign w:val="center"/>
            <w:tcMar>
              <w:top w:w="70" w:type="dxa"/>
              <w:bottom w:w="70" w:type="dxa"/>
              <w:left w:w="85" w:type="dxa"/>
              <w:right w:w="85" w:type="dxa"/>
            </w:tcMar>
          </w:tcPr>
          <w:p>
            <w:pPr>
              <w:keepNext w:val="0"/>
              <w:keepLines/>
              <w:spacing w:line="240" w:lineRule="auto" w:before="0" w:after="0"/>
              <w:ind w:firstLine="0"/>
              <w:jc w:val="left"/>
            </w:pPr>
            <w:r>
              <w:rPr>
                <w:rFonts w:ascii="Times New Roman" w:hAnsi="Times New Roman"/>
                <w:b w:val="0"/>
                <w:color w:val="000000"/>
                <w:sz w:val="24"/>
              </w:rPr>
              <w:t>Концентрация контроля</w:t>
            </w:r>
          </w:p>
        </w:tc>
        <w:tc>
          <w:tcPr>
            <w:tcW w:type="dxa" w:w="2721"/>
            <w:vAlign w:val="center"/>
            <w:tcMar>
              <w:top w:w="70" w:type="dxa"/>
              <w:bottom w:w="70" w:type="dxa"/>
              <w:left w:w="85" w:type="dxa"/>
              <w:right w:w="85" w:type="dxa"/>
            </w:tcMar>
          </w:tcPr>
          <w:p>
            <w:pPr>
              <w:keepNext w:val="0"/>
              <w:keepLines/>
              <w:spacing w:line="240" w:lineRule="auto" w:before="0" w:after="0"/>
              <w:ind w:firstLine="0"/>
              <w:jc w:val="left"/>
            </w:pPr>
            <w:r>
              <w:rPr>
                <w:rFonts w:ascii="Times New Roman" w:hAnsi="Times New Roman"/>
                <w:b w:val="0"/>
                <w:color w:val="000000"/>
                <w:sz w:val="24"/>
              </w:rPr>
              <w:t>История вкладов и полномочий</w:t>
            </w:r>
          </w:p>
        </w:tc>
        <w:tc>
          <w:tcPr>
            <w:tcW w:type="dxa" w:w="2835"/>
            <w:vAlign w:val="center"/>
            <w:tcMar>
              <w:top w:w="70" w:type="dxa"/>
              <w:bottom w:w="70" w:type="dxa"/>
              <w:left w:w="85" w:type="dxa"/>
              <w:right w:w="85" w:type="dxa"/>
            </w:tcMar>
          </w:tcPr>
          <w:p>
            <w:pPr>
              <w:keepNext w:val="0"/>
              <w:keepLines/>
              <w:spacing w:line="240" w:lineRule="auto" w:before="0" w:after="0"/>
              <w:ind w:firstLine="0"/>
              <w:jc w:val="left"/>
            </w:pPr>
            <w:r>
              <w:rPr>
                <w:rFonts w:ascii="Times New Roman" w:hAnsi="Times New Roman"/>
                <w:b w:val="0"/>
                <w:color w:val="000000"/>
                <w:sz w:val="24"/>
              </w:rPr>
              <w:t>Независимость контроля и передачу прав</w:t>
            </w:r>
          </w:p>
        </w:tc>
      </w:tr>
    </w:tbl>
    <w:p>
      <w:pPr>
        <w:keepNext w:val="0"/>
        <w:keepLines w:val="0"/>
        <w:pageBreakBefore w:val="0"/>
        <w:widowControl/>
        <w:spacing w:line="360" w:lineRule="auto" w:before="0" w:after="0"/>
        <w:ind w:firstLine="709"/>
        <w:jc w:val="both"/>
      </w:pPr>
      <w:r>
        <w:rPr>
          <w:rFonts w:ascii="Times New Roman" w:hAnsi="Times New Roman"/>
          <w:b w:val="0"/>
          <w:color w:val="000000"/>
          <w:sz w:val="28"/>
        </w:rPr>
        <w:t>Составлено по [1, 7, 8, 9, 10]. Последняя колонка связывает каждый фактор с предметом проверки и содержит аналитические выводы для задачи выбора компонента.</w:t>
      </w:r>
    </w:p>
    <w:p>
      <w:pPr>
        <w:keepNext w:val="0"/>
        <w:keepLines w:val="0"/>
        <w:pageBreakBefore w:val="0"/>
        <w:widowControl/>
        <w:spacing w:line="360" w:lineRule="auto" w:before="0" w:after="0"/>
        <w:ind w:firstLine="709"/>
        <w:jc w:val="both"/>
      </w:pPr>
      <w:r>
        <w:rPr>
          <w:rFonts w:ascii="Times New Roman" w:hAnsi="Times New Roman"/>
          <w:b w:val="0"/>
          <w:color w:val="000000"/>
          <w:sz w:val="28"/>
        </w:rPr>
        <w:t>Классификация показывает различие задач: анализ кода выявляет потенциально опасные конструкции, анализ зависимостей — проблемы компонентов, анализ процессов — условия принятия изменений. Выявленная угроза используемого выпуска требует рассмотрения в первую очередь, с указанием затронутого объекта и основания находки.</w:t>
      </w:r>
    </w:p>
    <w:p>
      <w:pPr>
        <w:keepNext w:val="0"/>
        <w:keepLines w:val="0"/>
        <w:pageBreakBefore w:val="0"/>
        <w:widowControl/>
        <w:spacing w:line="360" w:lineRule="auto" w:before="0" w:after="0"/>
        <w:ind w:firstLine="709"/>
        <w:jc w:val="both"/>
      </w:pPr>
      <w:r>
        <w:rPr>
          <w:rFonts w:ascii="Times New Roman" w:hAnsi="Times New Roman"/>
          <w:b w:val="0"/>
          <w:color w:val="000000"/>
          <w:sz w:val="28"/>
        </w:rPr>
        <w:t>Для рекомендации рассматриваются четыре группы сведений: защитные практики разработки; состав зависимостей и результаты проверок кода; активность сообщества и история вкладов; участие организаций и финансирование. Они характеризуют разные стороны проекта. Техническая находка относится к определённому коду или версии, а процессный показатель описывает наблюдаемые условия разработки.</w:t>
      </w:r>
    </w:p>
    <w:p>
      <w:pPr>
        <w:keepNext w:val="0"/>
        <w:keepLines w:val="0"/>
        <w:pageBreakBefore w:val="0"/>
        <w:widowControl/>
        <w:spacing w:line="360" w:lineRule="auto" w:before="0" w:after="0"/>
        <w:ind w:firstLine="709"/>
        <w:jc w:val="both"/>
      </w:pPr>
      <w:r>
        <w:rPr>
          <w:rFonts w:ascii="Times New Roman" w:hAnsi="Times New Roman"/>
          <w:b w:val="0"/>
          <w:color w:val="000000"/>
          <w:sz w:val="28"/>
        </w:rPr>
        <w:t>Репутация разработчика рассматривается через проверяемую историю: длительность участия, принятые изменения, ревью и события передачи полномочий. Известность или число подписчиков эти сведения не заменяют. Авторство коммита, слияние и ревью относятся к разным ролям; один человек может использовать несколько адресов, а часть записей создаётся автоматически.</w:t>
      </w:r>
    </w:p>
    <w:p>
      <w:pPr>
        <w:keepNext w:val="0"/>
        <w:keepLines w:val="0"/>
        <w:pageBreakBefore w:val="0"/>
        <w:widowControl/>
        <w:spacing w:line="360" w:lineRule="auto" w:before="0" w:after="0"/>
        <w:ind w:firstLine="709"/>
        <w:jc w:val="both"/>
      </w:pPr>
      <w:r>
        <w:rPr>
          <w:rFonts w:ascii="Times New Roman" w:hAnsi="Times New Roman"/>
          <w:b w:val="0"/>
          <w:color w:val="000000"/>
          <w:sz w:val="28"/>
        </w:rPr>
        <w:t>CHAOSS Organizational Diversity описывает участие организаций в изменениях, ревью и управлении [11]. Эти сведения помогают изучать концентрацию контроля, но поле организации в профиле не подтверждает трудовые отношения или независимость конкретной проверки. Вывод должен опираться на наблюдаемые роли и действия.</w:t>
      </w:r>
    </w:p>
    <w:p>
      <w:pPr>
        <w:keepNext w:val="0"/>
        <w:keepLines w:val="0"/>
        <w:pageBreakBefore w:val="0"/>
        <w:widowControl/>
        <w:spacing w:line="360" w:lineRule="auto" w:before="0" w:after="0"/>
        <w:ind w:firstLine="709"/>
        <w:jc w:val="both"/>
      </w:pPr>
      <w:r>
        <w:rPr>
          <w:rFonts w:ascii="Times New Roman" w:hAnsi="Times New Roman"/>
          <w:b w:val="0"/>
          <w:color w:val="000000"/>
          <w:sz w:val="28"/>
        </w:rPr>
        <w:t>Финансирование может поддерживать разработку функций, исправление проблем безопасности или сопровождение проекта; эти цели различаются в руководстве CHAOSS [12]. Для анализа существенны подтверждённые источник, назначение и период поддержки. Упоминание спонсора не устанавливает объём ресурсов и влияние на решения.</w:t>
      </w:r>
    </w:p>
    <w:p>
      <w:pPr>
        <w:keepNext w:val="0"/>
        <w:keepLines w:val="0"/>
        <w:pageBreakBefore w:val="0"/>
        <w:widowControl/>
        <w:spacing w:line="360" w:lineRule="auto" w:before="0" w:after="0"/>
        <w:ind w:firstLine="709"/>
        <w:jc w:val="both"/>
      </w:pPr>
      <w:r>
        <w:rPr>
          <w:rFonts w:ascii="Times New Roman" w:hAnsi="Times New Roman"/>
          <w:b w:val="0"/>
          <w:color w:val="000000"/>
          <w:sz w:val="28"/>
        </w:rPr>
        <w:t>Сопоставимость зависит от периода наблюдения. Сто коммитов одного проекта могут охватывать дни, другого — месяцы. Поэтому сравнение распределения вкладов по числу записей и сравнение активности за одинаковое время решают разные задачи. Единицу наблюдения необходимо определить до интерпретации.</w:t>
      </w:r>
    </w:p>
    <w:p>
      <w:pPr>
        <w:keepNext w:val="0"/>
        <w:keepLines w:val="0"/>
        <w:pageBreakBefore w:val="0"/>
        <w:widowControl/>
        <w:spacing w:line="360" w:lineRule="auto" w:before="0" w:after="0"/>
        <w:ind w:firstLine="709"/>
        <w:jc w:val="both"/>
      </w:pPr>
      <w:r>
        <w:rPr>
          <w:rFonts w:ascii="Times New Roman" w:hAnsi="Times New Roman"/>
          <w:b w:val="0"/>
          <w:color w:val="000000"/>
          <w:sz w:val="28"/>
        </w:rPr>
        <w:t>Наблюдаемая проверка не равна полной оценке практики: найденный запуск тестов не доказывает достаточность тестирования. Отсутствие распознанного запуска может объясняться внешней системой. Документация Scorecard описывает ограничения автоматического обнаружения и зависимость проверок от прав доступа [10].</w:t>
      </w:r>
    </w:p>
    <w:p>
      <w:pPr>
        <w:keepNext w:val="0"/>
        <w:keepLines w:val="0"/>
        <w:pageBreakBefore w:val="0"/>
        <w:widowControl/>
        <w:spacing w:line="360" w:lineRule="auto" w:before="0" w:after="0"/>
        <w:ind w:firstLine="709"/>
        <w:jc w:val="both"/>
      </w:pPr>
      <w:r>
        <w:rPr>
          <w:rFonts w:ascii="Times New Roman" w:hAnsi="Times New Roman"/>
          <w:b w:val="0"/>
          <w:color w:val="000000"/>
          <w:sz w:val="28"/>
        </w:rPr>
        <w:t>Тестирование, статический анализ и ревью решают разные задачи. Запуск тестов проверяет заданные свойства программы, тогда как ревью относится к рассмотрению принимаемого изменения. Запись о выполнении CI не подтверждает независимость ревью и не устанавливает полноту проверок. Для интерпретации важно сохранять вид процедуры и сведения о том, к какому коммиту относится её результат [10].</w:t>
      </w:r>
    </w:p>
    <w:p>
      <w:pPr>
        <w:keepNext w:val="0"/>
        <w:keepLines w:val="0"/>
        <w:pageBreakBefore w:val="0"/>
        <w:widowControl/>
        <w:spacing w:line="360" w:lineRule="auto" w:before="0" w:after="0"/>
        <w:ind w:firstLine="709"/>
        <w:jc w:val="both"/>
      </w:pPr>
      <w:r>
        <w:rPr>
          <w:rFonts w:ascii="Times New Roman" w:hAnsi="Times New Roman"/>
          <w:b w:val="0"/>
          <w:color w:val="000000"/>
          <w:sz w:val="28"/>
        </w:rPr>
        <w:t>Для каждого результата необходимы дата анализа и доступный идентификатор версии. Настройки репозитория, участники и сведения об уязвимостях меняются независимо; объединение разных временных срезов может исказить оценку. Источник и время позволяют установить границы каждого наблюдения.</w:t>
      </w:r>
    </w:p>
    <w:p>
      <w:pPr>
        <w:keepNext w:val="0"/>
        <w:keepLines w:val="0"/>
        <w:pageBreakBefore w:val="0"/>
        <w:widowControl/>
        <w:spacing w:line="360" w:lineRule="auto" w:before="0" w:after="0"/>
        <w:ind w:firstLine="709"/>
        <w:jc w:val="both"/>
      </w:pPr>
      <w:r>
        <w:rPr>
          <w:rFonts w:ascii="Times New Roman" w:hAnsi="Times New Roman"/>
          <w:b w:val="0"/>
          <w:color w:val="000000"/>
          <w:sz w:val="28"/>
        </w:rPr>
        <w:t>Таким образом, анализ должен связывать технические находки с контролем изменений и условиями сопровождения. Практический результат состоит в объяснении того, какие обстоятельства влияют на использование проекта и какие действия необходимы до принятия решения.</w:t>
      </w:r>
    </w:p>
    <w:p>
      <w:pPr>
        <w:pStyle w:val="Heading2"/>
        <w:keepNext/>
        <w:keepLines/>
        <w:pageBreakBefore w:val="0"/>
        <w:widowControl/>
        <w:spacing w:line="360" w:lineRule="auto" w:before="280" w:after="280"/>
        <w:ind w:firstLine="709"/>
        <w:jc w:val="left"/>
      </w:pPr>
      <w:bookmarkStart w:id="4" w:name="_toc_s12"/>
      <w:r>
        <w:rPr>
          <w:rFonts w:ascii="Times New Roman" w:hAnsi="Times New Roman"/>
          <w:b/>
          <w:color w:val="000000"/>
          <w:sz w:val="28"/>
        </w:rPr>
        <w:t>1.2 Сравнительный анализ средств поддержки безопасного выбора открытых компонентов</w:t>
      </w:r>
      <w:bookmarkEnd w:id="4"/>
    </w:p>
    <w:p>
      <w:pPr>
        <w:keepNext w:val="0"/>
        <w:keepLines w:val="0"/>
        <w:pageBreakBefore w:val="0"/>
        <w:widowControl/>
        <w:spacing w:line="360" w:lineRule="auto" w:before="0" w:after="0"/>
        <w:ind w:firstLine="709"/>
        <w:jc w:val="both"/>
      </w:pPr>
      <w:r>
        <w:rPr>
          <w:rFonts w:ascii="Times New Roman" w:hAnsi="Times New Roman"/>
          <w:b w:val="0"/>
          <w:color w:val="000000"/>
          <w:sz w:val="28"/>
        </w:rPr>
        <w:t>Рынок средств безопасности цепочек поставки включает несколько классов. Композиционный анализ — SCA — исследует сторонние компоненты; статический анализ безопасности — SAST — проверяет код без выполнения. Средства анализа вредоносных пакетов учитывают опасное содержимое и события публикации. Их дополняют проверки практик разработки и метрики сообщества.</w:t>
      </w:r>
    </w:p>
    <w:p>
      <w:pPr>
        <w:keepNext w:val="0"/>
        <w:keepLines w:val="0"/>
        <w:pageBreakBefore w:val="0"/>
        <w:widowControl/>
        <w:spacing w:line="360" w:lineRule="auto" w:before="0" w:after="0"/>
        <w:ind w:firstLine="709"/>
        <w:jc w:val="both"/>
      </w:pPr>
      <w:r>
        <w:rPr>
          <w:rFonts w:ascii="Times New Roman" w:hAnsi="Times New Roman"/>
          <w:b w:val="0"/>
          <w:color w:val="000000"/>
          <w:sz w:val="28"/>
        </w:rPr>
        <w:t>В обзор включены CodeScoring, Snyk Open Source, Sonatype Lifecycle, Socket, средства GitHub, OpenSSF Scorecard и OWASP Dependency-Track. Выборка охватывает российскую платформу, зарубежные коммерческие продукты, встроенные и открытые инструменты. NIST SSDF, SLSA, OWASP SCVS и CHAOSS рассматриваются отдельно как методические основы.</w:t>
      </w:r>
    </w:p>
    <w:p>
      <w:pPr>
        <w:keepNext w:val="0"/>
        <w:keepLines w:val="0"/>
        <w:pageBreakBefore w:val="0"/>
        <w:widowControl/>
        <w:spacing w:line="360" w:lineRule="auto" w:before="0" w:after="0"/>
        <w:ind w:firstLine="709"/>
        <w:jc w:val="both"/>
      </w:pPr>
      <w:r>
        <w:rPr>
          <w:rFonts w:ascii="Times New Roman" w:hAnsi="Times New Roman"/>
          <w:b w:val="0"/>
          <w:color w:val="000000"/>
          <w:sz w:val="28"/>
        </w:rPr>
        <w:t>Функциональное сравнение выполнено по официальной документации с уточнениями на 21 октября 2026 года. Сопоставлены назначение средств, используемые данные, документированные функции и представление результатов. При оценке учитываются выбранный модуль, редакция и режим работы; для каждой возможности фиксируется подтверждающий раздел документации.</w:t>
      </w:r>
    </w:p>
    <w:p>
      <w:pPr>
        <w:keepNext w:val="0"/>
        <w:keepLines w:val="0"/>
        <w:pageBreakBefore w:val="0"/>
        <w:widowControl/>
        <w:spacing w:line="360" w:lineRule="auto" w:before="0" w:after="0"/>
        <w:ind w:firstLine="709"/>
        <w:jc w:val="both"/>
      </w:pPr>
      <w:r>
        <w:rPr>
          <w:rFonts w:ascii="Times New Roman" w:hAnsi="Times New Roman"/>
          <w:b w:val="0"/>
          <w:color w:val="000000"/>
          <w:sz w:val="28"/>
        </w:rPr>
        <w:t>Критерии объединены в три группы: техническое состояние кода и компонентов; контроль изменений и участие разработчиков; привязка, объяснение и применение результата. Связь критериев с потребностями пользователя показана в таблице 1.2.</w:t>
      </w:r>
    </w:p>
    <w:p>
      <w:pPr>
        <w:keepNext w:val="0"/>
        <w:keepLines w:val="0"/>
        <w:pageBreakBefore w:val="0"/>
        <w:widowControl/>
        <w:spacing w:line="360" w:lineRule="auto" w:before="0" w:after="0"/>
        <w:ind w:firstLine="709"/>
        <w:jc w:val="both"/>
      </w:pPr>
      <w:r>
        <w:rPr>
          <w:rFonts w:ascii="Times New Roman" w:hAnsi="Times New Roman"/>
          <w:b w:val="0"/>
          <w:color w:val="000000"/>
          <w:sz w:val="28"/>
        </w:rPr>
        <w:t>Положительная оценка относится к документированной операции в заданных границах модуля. Полные определения критериев и основания ячеек приведены в аналитическом отчёте и Excel.</w:t>
      </w:r>
    </w:p>
    <w:p w:rsidR="00000001">
      <w:pPr>
        <w:keepNext/>
        <w:keepLines w:val="0"/>
        <w:pageBreakBefore w:val="0"/>
        <w:widowControl/>
        <w:spacing w:line="240" w:lineRule="auto" w:before="160" w:after="120"/>
        <w:ind w:firstLine="0"/>
        <w:jc w:val="left"/>
      </w:pPr>
      <w:r>
        <w:rPr>
          <w:rFonts w:ascii="Times New Roman" w:hAnsi="Times New Roman"/>
          <w:b w:val="0"/>
          <w:color w:val="000000"/>
          <w:sz w:val="28"/>
        </w:rPr>
        <w:t>Таблица 1.2 — Связь потребностей пользователя и критериев сравнения</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835"/>
        <w:gridCol w:w="3175"/>
        <w:gridCol w:w="3345"/>
      </w:tblGrid>
      <w:tr>
        <w:trPr>
          <w:cantSplit/>
          <w:tblHeader/>
        </w:trPr>
        <w:tc>
          <w:tcPr>
            <w:tcW w:type="dxa" w:w="2835"/>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color w:val="000000"/>
                <w:sz w:val="24"/>
              </w:rPr>
              <w:t>Потребность</w:t>
            </w:r>
          </w:p>
        </w:tc>
        <w:tc>
          <w:tcPr>
            <w:tcW w:type="dxa" w:w="3175"/>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color w:val="000000"/>
                <w:sz w:val="24"/>
              </w:rPr>
              <w:t>Критерии</w:t>
            </w:r>
          </w:p>
        </w:tc>
        <w:tc>
          <w:tcPr>
            <w:tcW w:type="dxa" w:w="3345"/>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color w:val="000000"/>
                <w:sz w:val="24"/>
              </w:rPr>
              <w:t>Условие положительной оценки</w:t>
            </w:r>
          </w:p>
        </w:tc>
      </w:tr>
      <w:tr>
        <w:trPr>
          <w:cantSplit/>
        </w:trPr>
        <w:tc>
          <w:tcPr>
            <w:tcW w:type="dxa" w:w="2835"/>
            <w:vAlign w:val="center"/>
            <w:tcMar>
              <w:top w:w="70" w:type="dxa"/>
              <w:bottom w:w="70" w:type="dxa"/>
              <w:left w:w="85" w:type="dxa"/>
              <w:right w:w="85" w:type="dxa"/>
            </w:tcMar>
          </w:tcPr>
          <w:p>
            <w:pPr>
              <w:keepNext/>
              <w:keepLines/>
              <w:spacing w:line="240" w:lineRule="auto" w:before="0" w:after="0"/>
              <w:ind w:firstLine="0"/>
              <w:jc w:val="left"/>
            </w:pPr>
            <w:r>
              <w:rPr>
                <w:rFonts w:ascii="Times New Roman" w:hAnsi="Times New Roman"/>
                <w:b w:val="0"/>
                <w:color w:val="000000"/>
                <w:sz w:val="24"/>
              </w:rPr>
              <w:t>Определить состав и версию объекта</w:t>
            </w:r>
          </w:p>
        </w:tc>
        <w:tc>
          <w:tcPr>
            <w:tcW w:type="dxa" w:w="3175"/>
            <w:vAlign w:val="center"/>
            <w:tcMar>
              <w:top w:w="70" w:type="dxa"/>
              <w:bottom w:w="70" w:type="dxa"/>
              <w:left w:w="85" w:type="dxa"/>
              <w:right w:w="85" w:type="dxa"/>
            </w:tcMar>
          </w:tcPr>
          <w:p>
            <w:pPr>
              <w:keepNext/>
              <w:keepLines/>
              <w:spacing w:line="240" w:lineRule="auto" w:before="0" w:after="0"/>
              <w:ind w:firstLine="0"/>
              <w:jc w:val="left"/>
            </w:pPr>
            <w:r>
              <w:rPr>
                <w:rFonts w:ascii="Times New Roman" w:hAnsi="Times New Roman"/>
                <w:b w:val="0"/>
                <w:color w:val="000000"/>
                <w:sz w:val="24"/>
              </w:rPr>
              <w:t>C01 Состав компонентов</w:t>
              <w:br/>
              <w:t>C09 Объект результата</w:t>
            </w:r>
          </w:p>
        </w:tc>
        <w:tc>
          <w:tcPr>
            <w:tcW w:type="dxa" w:w="3345"/>
            <w:vAlign w:val="center"/>
            <w:tcMar>
              <w:top w:w="70" w:type="dxa"/>
              <w:bottom w:w="70" w:type="dxa"/>
              <w:left w:w="85" w:type="dxa"/>
              <w:right w:w="85" w:type="dxa"/>
            </w:tcMar>
          </w:tcPr>
          <w:p>
            <w:pPr>
              <w:keepNext/>
              <w:keepLines/>
              <w:spacing w:line="240" w:lineRule="auto" w:before="0" w:after="0"/>
              <w:ind w:firstLine="0"/>
              <w:jc w:val="left"/>
            </w:pPr>
            <w:r>
              <w:rPr>
                <w:rFonts w:ascii="Times New Roman" w:hAnsi="Times New Roman"/>
                <w:b w:val="0"/>
                <w:color w:val="000000"/>
                <w:sz w:val="24"/>
              </w:rPr>
              <w:t>Перечень компонентов; связь результата с версией, коммитом или ветвью.</w:t>
            </w:r>
          </w:p>
        </w:tc>
      </w:tr>
      <w:tr>
        <w:trPr>
          <w:cantSplit/>
        </w:trPr>
        <w:tc>
          <w:tcPr>
            <w:tcW w:type="dxa" w:w="2835"/>
            <w:vAlign w:val="center"/>
            <w:tcMar>
              <w:top w:w="70" w:type="dxa"/>
              <w:bottom w:w="70" w:type="dxa"/>
              <w:left w:w="85" w:type="dxa"/>
              <w:right w:w="85" w:type="dxa"/>
            </w:tcMar>
          </w:tcPr>
          <w:p>
            <w:pPr>
              <w:keepNext/>
              <w:keepLines/>
              <w:spacing w:line="240" w:lineRule="auto" w:before="0" w:after="0"/>
              <w:ind w:firstLine="0"/>
              <w:jc w:val="left"/>
            </w:pPr>
            <w:r>
              <w:rPr>
                <w:rFonts w:ascii="Times New Roman" w:hAnsi="Times New Roman"/>
                <w:b w:val="0"/>
                <w:color w:val="000000"/>
                <w:sz w:val="24"/>
              </w:rPr>
              <w:t>Различить технические проблемы</w:t>
            </w:r>
          </w:p>
        </w:tc>
        <w:tc>
          <w:tcPr>
            <w:tcW w:type="dxa" w:w="3175"/>
            <w:vAlign w:val="center"/>
            <w:tcMar>
              <w:top w:w="70" w:type="dxa"/>
              <w:bottom w:w="70" w:type="dxa"/>
              <w:left w:w="85" w:type="dxa"/>
              <w:right w:w="85" w:type="dxa"/>
            </w:tcMar>
          </w:tcPr>
          <w:p>
            <w:pPr>
              <w:keepNext/>
              <w:keepLines/>
              <w:spacing w:line="240" w:lineRule="auto" w:before="0" w:after="0"/>
              <w:ind w:firstLine="0"/>
              <w:jc w:val="left"/>
            </w:pPr>
            <w:r>
              <w:rPr>
                <w:rFonts w:ascii="Times New Roman" w:hAnsi="Times New Roman"/>
                <w:b w:val="0"/>
                <w:color w:val="000000"/>
                <w:sz w:val="24"/>
              </w:rPr>
              <w:t>C02 Известные уязвимости</w:t>
              <w:br/>
              <w:t>C03 Вредоносные пакеты</w:t>
              <w:br/>
              <w:t>C04 SAST исходного кода</w:t>
            </w:r>
          </w:p>
        </w:tc>
        <w:tc>
          <w:tcPr>
            <w:tcW w:type="dxa" w:w="3345"/>
            <w:vAlign w:val="center"/>
            <w:tcMar>
              <w:top w:w="70" w:type="dxa"/>
              <w:bottom w:w="70" w:type="dxa"/>
              <w:left w:w="85" w:type="dxa"/>
              <w:right w:w="85" w:type="dxa"/>
            </w:tcMar>
          </w:tcPr>
          <w:p>
            <w:pPr>
              <w:keepNext/>
              <w:keepLines/>
              <w:spacing w:line="240" w:lineRule="auto" w:before="0" w:after="0"/>
              <w:ind w:firstLine="0"/>
              <w:jc w:val="left"/>
            </w:pPr>
            <w:r>
              <w:rPr>
                <w:rFonts w:ascii="Times New Roman" w:hAnsi="Times New Roman"/>
                <w:b w:val="0"/>
                <w:color w:val="000000"/>
                <w:sz w:val="24"/>
              </w:rPr>
              <w:t>Отдельные проверки уязвимостей, вредоносных пакетов и кода приложения.</w:t>
            </w:r>
          </w:p>
        </w:tc>
      </w:tr>
      <w:tr>
        <w:trPr>
          <w:cantSplit/>
        </w:trPr>
        <w:tc>
          <w:tcPr>
            <w:tcW w:type="dxa" w:w="2835"/>
            <w:vAlign w:val="center"/>
            <w:tcMar>
              <w:top w:w="70" w:type="dxa"/>
              <w:bottom w:w="70" w:type="dxa"/>
              <w:left w:w="85" w:type="dxa"/>
              <w:right w:w="85" w:type="dxa"/>
            </w:tcMar>
          </w:tcPr>
          <w:p>
            <w:pPr>
              <w:keepNext/>
              <w:keepLines/>
              <w:spacing w:line="240" w:lineRule="auto" w:before="0" w:after="0"/>
              <w:ind w:firstLine="0"/>
              <w:jc w:val="left"/>
            </w:pPr>
            <w:r>
              <w:rPr>
                <w:rFonts w:ascii="Times New Roman" w:hAnsi="Times New Roman"/>
                <w:b w:val="0"/>
                <w:color w:val="000000"/>
                <w:sz w:val="24"/>
              </w:rPr>
              <w:t>Изучить контроль изменений и вклад участников</w:t>
            </w:r>
          </w:p>
        </w:tc>
        <w:tc>
          <w:tcPr>
            <w:tcW w:type="dxa" w:w="3175"/>
            <w:vAlign w:val="center"/>
            <w:tcMar>
              <w:top w:w="70" w:type="dxa"/>
              <w:bottom w:w="70" w:type="dxa"/>
              <w:left w:w="85" w:type="dxa"/>
              <w:right w:w="85" w:type="dxa"/>
            </w:tcMar>
          </w:tcPr>
          <w:p>
            <w:pPr>
              <w:keepNext/>
              <w:keepLines/>
              <w:spacing w:line="240" w:lineRule="auto" w:before="0" w:after="0"/>
              <w:ind w:firstLine="0"/>
              <w:jc w:val="left"/>
            </w:pPr>
            <w:r>
              <w:rPr>
                <w:rFonts w:ascii="Times New Roman" w:hAnsi="Times New Roman"/>
                <w:b w:val="0"/>
                <w:color w:val="000000"/>
                <w:sz w:val="24"/>
              </w:rPr>
              <w:t>C05 Защитные практики</w:t>
              <w:br/>
              <w:t>C06 Вклад разработчиков</w:t>
            </w:r>
          </w:p>
        </w:tc>
        <w:tc>
          <w:tcPr>
            <w:tcW w:type="dxa" w:w="3345"/>
            <w:vAlign w:val="center"/>
            <w:tcMar>
              <w:top w:w="70" w:type="dxa"/>
              <w:bottom w:w="70" w:type="dxa"/>
              <w:left w:w="85" w:type="dxa"/>
              <w:right w:w="85" w:type="dxa"/>
            </w:tcMar>
          </w:tcPr>
          <w:p>
            <w:pPr>
              <w:keepNext/>
              <w:keepLines/>
              <w:spacing w:line="240" w:lineRule="auto" w:before="0" w:after="0"/>
              <w:ind w:firstLine="0"/>
              <w:jc w:val="left"/>
            </w:pPr>
            <w:r>
              <w:rPr>
                <w:rFonts w:ascii="Times New Roman" w:hAnsi="Times New Roman"/>
                <w:b w:val="0"/>
                <w:color w:val="000000"/>
                <w:sz w:val="24"/>
              </w:rPr>
              <w:t>Проверки защитных практик; анализ истории авторов и изменений.</w:t>
            </w:r>
          </w:p>
        </w:tc>
      </w:tr>
      <w:tr>
        <w:trPr>
          <w:cantSplit/>
        </w:trPr>
        <w:tc>
          <w:tcPr>
            <w:tcW w:type="dxa" w:w="2835"/>
            <w:vAlign w:val="center"/>
            <w:tcMar>
              <w:top w:w="70" w:type="dxa"/>
              <w:bottom w:w="70" w:type="dxa"/>
              <w:left w:w="85" w:type="dxa"/>
              <w:right w:w="85" w:type="dxa"/>
            </w:tcMar>
          </w:tcPr>
          <w:p>
            <w:pPr>
              <w:keepNext/>
              <w:keepLines/>
              <w:spacing w:line="240" w:lineRule="auto" w:before="0" w:after="0"/>
              <w:ind w:firstLine="0"/>
              <w:jc w:val="left"/>
            </w:pPr>
            <w:r>
              <w:rPr>
                <w:rFonts w:ascii="Times New Roman" w:hAnsi="Times New Roman"/>
                <w:b w:val="0"/>
                <w:color w:val="000000"/>
                <w:sz w:val="24"/>
              </w:rPr>
              <w:t>Уточнить публикацию и участие организаций</w:t>
            </w:r>
          </w:p>
        </w:tc>
        <w:tc>
          <w:tcPr>
            <w:tcW w:type="dxa" w:w="3175"/>
            <w:vAlign w:val="center"/>
            <w:tcMar>
              <w:top w:w="70" w:type="dxa"/>
              <w:bottom w:w="70" w:type="dxa"/>
              <w:left w:w="85" w:type="dxa"/>
              <w:right w:w="85" w:type="dxa"/>
            </w:tcMar>
          </w:tcPr>
          <w:p>
            <w:pPr>
              <w:keepNext/>
              <w:keepLines/>
              <w:spacing w:line="240" w:lineRule="auto" w:before="0" w:after="0"/>
              <w:ind w:firstLine="0"/>
              <w:jc w:val="left"/>
            </w:pPr>
            <w:r>
              <w:rPr>
                <w:rFonts w:ascii="Times New Roman" w:hAnsi="Times New Roman"/>
                <w:b w:val="0"/>
                <w:color w:val="000000"/>
                <w:sz w:val="24"/>
              </w:rPr>
              <w:t>C07 Смена публикующих участников</w:t>
              <w:br/>
              <w:t>C08 Участие организаций</w:t>
            </w:r>
          </w:p>
        </w:tc>
        <w:tc>
          <w:tcPr>
            <w:tcW w:type="dxa" w:w="3345"/>
            <w:vAlign w:val="center"/>
            <w:tcMar>
              <w:top w:w="70" w:type="dxa"/>
              <w:bottom w:w="70" w:type="dxa"/>
              <w:left w:w="85" w:type="dxa"/>
              <w:right w:w="85" w:type="dxa"/>
            </w:tcMar>
          </w:tcPr>
          <w:p>
            <w:pPr>
              <w:keepNext/>
              <w:keepLines/>
              <w:spacing w:line="240" w:lineRule="auto" w:before="0" w:after="0"/>
              <w:ind w:firstLine="0"/>
              <w:jc w:val="left"/>
            </w:pPr>
            <w:r>
              <w:rPr>
                <w:rFonts w:ascii="Times New Roman" w:hAnsi="Times New Roman"/>
                <w:b w:val="0"/>
                <w:color w:val="000000"/>
                <w:sz w:val="24"/>
              </w:rPr>
              <w:t>События смены публикующих участников; распределение участия организаций.</w:t>
            </w:r>
          </w:p>
        </w:tc>
      </w:tr>
      <w:tr>
        <w:trPr>
          <w:cantSplit/>
        </w:trPr>
        <w:tc>
          <w:tcPr>
            <w:tcW w:type="dxa" w:w="2835"/>
            <w:vAlign w:val="center"/>
            <w:tcMar>
              <w:top w:w="70" w:type="dxa"/>
              <w:bottom w:w="70" w:type="dxa"/>
              <w:left w:w="85" w:type="dxa"/>
              <w:right w:w="85" w:type="dxa"/>
            </w:tcMar>
          </w:tcPr>
          <w:p>
            <w:pPr>
              <w:keepNext w:val="0"/>
              <w:keepLines/>
              <w:spacing w:line="240" w:lineRule="auto" w:before="0" w:after="0"/>
              <w:ind w:firstLine="0"/>
              <w:jc w:val="left"/>
            </w:pPr>
            <w:r>
              <w:rPr>
                <w:rFonts w:ascii="Times New Roman" w:hAnsi="Times New Roman"/>
                <w:b w:val="0"/>
                <w:color w:val="000000"/>
                <w:sz w:val="24"/>
              </w:rPr>
              <w:t>Проверить вывод и выбрать действие</w:t>
            </w:r>
          </w:p>
        </w:tc>
        <w:tc>
          <w:tcPr>
            <w:tcW w:type="dxa" w:w="3175"/>
            <w:vAlign w:val="center"/>
            <w:tcMar>
              <w:top w:w="70" w:type="dxa"/>
              <w:bottom w:w="70" w:type="dxa"/>
              <w:left w:w="85" w:type="dxa"/>
              <w:right w:w="85" w:type="dxa"/>
            </w:tcMar>
          </w:tcPr>
          <w:p>
            <w:pPr>
              <w:keepNext w:val="0"/>
              <w:keepLines/>
              <w:spacing w:line="240" w:lineRule="auto" w:before="0" w:after="0"/>
              <w:ind w:firstLine="0"/>
              <w:jc w:val="left"/>
            </w:pPr>
            <w:r>
              <w:rPr>
                <w:rFonts w:ascii="Times New Roman" w:hAnsi="Times New Roman"/>
                <w:b w:val="0"/>
                <w:color w:val="000000"/>
                <w:sz w:val="24"/>
              </w:rPr>
              <w:t>C10 Проверяемое основание</w:t>
              <w:br/>
              <w:t>C11 Действия по исправлению</w:t>
            </w:r>
          </w:p>
        </w:tc>
        <w:tc>
          <w:tcPr>
            <w:tcW w:type="dxa" w:w="3345"/>
            <w:vAlign w:val="center"/>
            <w:tcMar>
              <w:top w:w="70" w:type="dxa"/>
              <w:bottom w:w="70" w:type="dxa"/>
              <w:left w:w="85" w:type="dxa"/>
              <w:right w:w="85" w:type="dxa"/>
            </w:tcMar>
          </w:tcPr>
          <w:p>
            <w:pPr>
              <w:keepNext w:val="0"/>
              <w:keepLines/>
              <w:spacing w:line="240" w:lineRule="auto" w:before="0" w:after="0"/>
              <w:ind w:firstLine="0"/>
              <w:jc w:val="left"/>
            </w:pPr>
            <w:r>
              <w:rPr>
                <w:rFonts w:ascii="Times New Roman" w:hAnsi="Times New Roman"/>
                <w:b w:val="0"/>
                <w:color w:val="000000"/>
                <w:sz w:val="24"/>
              </w:rPr>
              <w:t>Подробности находки или правила; конкретная мера либо версия исправления.</w:t>
            </w:r>
          </w:p>
        </w:tc>
      </w:tr>
    </w:tbl>
    <w:p>
      <w:pPr>
        <w:keepNext w:val="0"/>
        <w:keepLines w:val="0"/>
        <w:pageBreakBefore w:val="0"/>
        <w:widowControl/>
        <w:spacing w:line="360" w:lineRule="auto" w:before="0" w:after="0"/>
        <w:ind w:firstLine="709"/>
        <w:jc w:val="both"/>
      </w:pPr>
      <w:r>
        <w:rPr>
          <w:rFonts w:ascii="Times New Roman" w:hAnsi="Times New Roman"/>
          <w:b w:val="0"/>
          <w:color w:val="000000"/>
          <w:sz w:val="28"/>
        </w:rPr>
        <w:t>Выделены девять объектов из семи семейств: SCA с OSA и TQI платформы CodeScoring, а также Dependabot и CodeQL рассматриваются раздельно. По 11 критериям получено 99 оценок. «Да» означает подтверждённую возможность, «Нет» — прямое ограничение, «Не установлено» — недостаток подтверждений. Для каждой оценки сохранены пояснение, источник и раздел документа.</w:t>
      </w:r>
    </w:p>
    <w:p>
      <w:pPr>
        <w:keepNext w:val="0"/>
        <w:keepLines w:val="0"/>
        <w:pageBreakBefore w:val="0"/>
        <w:widowControl/>
        <w:spacing w:line="360" w:lineRule="auto" w:before="0" w:after="0"/>
        <w:ind w:firstLine="709"/>
        <w:jc w:val="both"/>
      </w:pPr>
      <w:r>
        <w:rPr>
          <w:rFonts w:ascii="Times New Roman" w:hAnsi="Times New Roman"/>
          <w:b w:val="0"/>
          <w:color w:val="000000"/>
          <w:sz w:val="28"/>
        </w:rPr>
        <w:t>Значение условий сравнения подтверждает исследование Imtiaz, Thorne и Williams: девять SCA-инструментов дали существенно различающиеся сведения об уязвимых зависимостях OpenMRS [13]. Для настоящего обзора это обосновывает фиксацию исходных данных и используемых баз при сопоставлении результатов в выбранных условиях.</w:t>
      </w:r>
    </w:p>
    <w:p>
      <w:pPr>
        <w:keepNext w:val="0"/>
        <w:keepLines w:val="0"/>
        <w:pageBreakBefore w:val="0"/>
        <w:widowControl/>
        <w:spacing w:line="360" w:lineRule="auto" w:before="0" w:after="0"/>
        <w:ind w:firstLine="709"/>
        <w:jc w:val="both"/>
      </w:pPr>
      <w:r>
        <w:rPr>
          <w:rFonts w:ascii="Times New Roman" w:hAnsi="Times New Roman"/>
          <w:b w:val="0"/>
          <w:color w:val="000000"/>
          <w:sz w:val="28"/>
        </w:rPr>
        <w:t>Среди коммерческих решений CodeScoring объединяет несколько направлений: SCA выявляет зависимости, уязвимости, вредоносные компоненты и лицензионные вопросы; TQI оценивает качество кода и динамику разработки; OSA контролирует получение компонентов через интеграции с хранилищами и прокси [14, 15]. Для темы работы особенно существенен анализ истории проекта в TQI.</w:t>
      </w:r>
    </w:p>
    <w:p>
      <w:pPr>
        <w:keepNext w:val="0"/>
        <w:keepLines w:val="0"/>
        <w:pageBreakBefore w:val="0"/>
        <w:widowControl/>
        <w:spacing w:line="360" w:lineRule="auto" w:before="0" w:after="0"/>
        <w:ind w:firstLine="709"/>
        <w:jc w:val="both"/>
      </w:pPr>
      <w:r>
        <w:rPr>
          <w:rFonts w:ascii="Times New Roman" w:hAnsi="Times New Roman"/>
          <w:b w:val="0"/>
          <w:color w:val="000000"/>
          <w:sz w:val="28"/>
        </w:rPr>
        <w:t>TQI предоставляет сведения об авторах, коммитах, изменениях, сложности и дубликатах [16, 17]. Это позволяет совместно рассматривать техническое состояние и вклад участников. Для интерпретации важны виды выполненных изменений, роли участников и период наблюдения; связь этих сведений с риском использования проекта требует отдельного объяснения. Предусмотрено локальное развёртывание платформы [18].</w:t>
      </w:r>
    </w:p>
    <w:p>
      <w:pPr>
        <w:keepNext w:val="0"/>
        <w:keepLines w:val="0"/>
        <w:pageBreakBefore w:val="0"/>
        <w:widowControl/>
        <w:spacing w:line="360" w:lineRule="auto" w:before="0" w:after="0"/>
        <w:ind w:firstLine="709"/>
        <w:jc w:val="both"/>
      </w:pPr>
      <w:r>
        <w:rPr>
          <w:rFonts w:ascii="Times New Roman" w:hAnsi="Times New Roman"/>
          <w:b w:val="0"/>
          <w:color w:val="000000"/>
          <w:sz w:val="28"/>
        </w:rPr>
        <w:t>Snyk Open Source анализирует уязвимости и лицензии открытых библиотек, включая косвенные зависимости, и предлагает исправления [19]. Его практическое значение — связь проблемы с компонентом и действием, например обновлением зависимости.</w:t>
      </w:r>
    </w:p>
    <w:p>
      <w:pPr>
        <w:keepNext w:val="0"/>
        <w:keepLines w:val="0"/>
        <w:pageBreakBefore w:val="0"/>
        <w:widowControl/>
        <w:spacing w:line="360" w:lineRule="auto" w:before="0" w:after="0"/>
        <w:ind w:firstLine="709"/>
        <w:jc w:val="both"/>
      </w:pPr>
      <w:r>
        <w:rPr>
          <w:rFonts w:ascii="Times New Roman" w:hAnsi="Times New Roman"/>
          <w:b w:val="0"/>
          <w:color w:val="000000"/>
          <w:sz w:val="28"/>
        </w:rPr>
        <w:t>Поиск известных вредоносных пакетов в Snyk использует экосистему, имя и версию; происхождение сканируемого пакета при сопоставлении не учитывается [20]. Положительная оценка C03 относится к сопоставлению с известными записями. Поэтому при использовании результата важно сохранять идентификатор пакета, затронутую версию и основание предупреждения. Варианты подключения описаны поставщиком [21].</w:t>
      </w:r>
    </w:p>
    <w:p>
      <w:pPr>
        <w:keepNext w:val="0"/>
        <w:keepLines w:val="0"/>
        <w:pageBreakBefore w:val="0"/>
        <w:widowControl/>
        <w:spacing w:line="360" w:lineRule="auto" w:before="0" w:after="0"/>
        <w:ind w:firstLine="709"/>
        <w:jc w:val="both"/>
      </w:pPr>
      <w:r>
        <w:rPr>
          <w:rFonts w:ascii="Times New Roman" w:hAnsi="Times New Roman"/>
          <w:b w:val="0"/>
          <w:color w:val="000000"/>
          <w:sz w:val="28"/>
        </w:rPr>
        <w:t>Sonatype Lifecycle получает состав из файлов зависимостей, SBOM и других входов, идентифицирует компоненты и применяет политики [22]. Единые правила позволяют контролировать известные проблемы сразу в нескольких приложениях.</w:t>
      </w:r>
    </w:p>
    <w:p>
      <w:pPr>
        <w:keepNext w:val="0"/>
        <w:keepLines w:val="0"/>
        <w:pageBreakBefore w:val="0"/>
        <w:widowControl/>
        <w:spacing w:line="360" w:lineRule="auto" w:before="0" w:after="0"/>
        <w:ind w:firstLine="709"/>
        <w:jc w:val="both"/>
      </w:pPr>
      <w:r>
        <w:rPr>
          <w:rFonts w:ascii="Times New Roman" w:hAnsi="Times New Roman"/>
          <w:b w:val="0"/>
          <w:color w:val="000000"/>
          <w:sz w:val="28"/>
        </w:rPr>
        <w:t>Политики предусматривают предупреждение и остановку поддерживаемого этапа [23]; интеграции с системами контроля версий дают обратную связь и подготовку исправлений [24]. Категория Security-Malicious относится к вредоносному коду [25]. Возможности Lifecycle оцениваются отдельно от Repository Firewall. Для задачи ВКР проверка политики должна дополняться сведениями о процессе разработки внешнего компонента.</w:t>
      </w:r>
    </w:p>
    <w:p>
      <w:pPr>
        <w:keepNext w:val="0"/>
        <w:keepLines w:val="0"/>
        <w:pageBreakBefore w:val="0"/>
        <w:widowControl/>
        <w:spacing w:line="360" w:lineRule="auto" w:before="0" w:after="0"/>
        <w:ind w:firstLine="709"/>
        <w:jc w:val="both"/>
      </w:pPr>
      <w:r>
        <w:rPr>
          <w:rFonts w:ascii="Times New Roman" w:hAnsi="Times New Roman"/>
          <w:b w:val="0"/>
          <w:color w:val="000000"/>
          <w:sz w:val="28"/>
        </w:rPr>
        <w:t>Socket сочетает статический анализ сторонних пакетов, метаданные и историю сопровождающих [26]. Среди сигналов — обфускация, установочные скрипты, появление нового публикующего участника и изменение владельцев [27]. Тем самым продукт объединяет технические и процессные признаки; отдельное событие управления ещё не подтверждает атаку.</w:t>
      </w:r>
    </w:p>
    <w:p>
      <w:pPr>
        <w:keepNext w:val="0"/>
        <w:keepLines w:val="0"/>
        <w:pageBreakBefore w:val="0"/>
        <w:widowControl/>
        <w:spacing w:line="360" w:lineRule="auto" w:before="0" w:after="0"/>
        <w:ind w:firstLine="709"/>
        <w:jc w:val="both"/>
      </w:pPr>
      <w:r>
        <w:rPr>
          <w:rFonts w:ascii="Times New Roman" w:hAnsi="Times New Roman"/>
          <w:b w:val="0"/>
          <w:color w:val="000000"/>
          <w:sz w:val="28"/>
        </w:rPr>
        <w:t>Интеграция Socket с GitHub связывает результаты с изменениями зависимостей при рассмотрении запроса на изменение [28]. Также описаны предупреждения об уязвимостях и обновление исправимых зависимостей [29, 30]. Для задачи ВКР этот пример показывает связь анализа событий публикации с конкретным действием потребителя: уточнением происхождения выпуска или проверкой изменения зависимости.</w:t>
      </w:r>
    </w:p>
    <w:p>
      <w:pPr>
        <w:keepNext w:val="0"/>
        <w:keepLines w:val="0"/>
        <w:pageBreakBefore w:val="0"/>
        <w:widowControl/>
        <w:spacing w:line="360" w:lineRule="auto" w:before="0" w:after="0"/>
        <w:ind w:firstLine="709"/>
        <w:jc w:val="both"/>
      </w:pPr>
      <w:r>
        <w:rPr>
          <w:rFonts w:ascii="Times New Roman" w:hAnsi="Times New Roman"/>
          <w:b w:val="0"/>
          <w:color w:val="000000"/>
          <w:sz w:val="28"/>
        </w:rPr>
        <w:t>В GitHub Dependabot связывает зависимости с известными проблемами [31], включая предупреждения об известных вредоносных пакетах [32]. CodeQL анализирует исходный код и выдаёт предупреждения code scanning [33] со сведениями об исправлении [34]. Эти средства различаются по объекту анализа и поэтому сопоставляются раздельно.</w:t>
      </w:r>
    </w:p>
    <w:p>
      <w:pPr>
        <w:keepNext w:val="0"/>
        <w:keepLines w:val="0"/>
        <w:pageBreakBefore w:val="0"/>
        <w:widowControl/>
        <w:spacing w:line="360" w:lineRule="auto" w:before="0" w:after="0"/>
        <w:ind w:firstLine="709"/>
        <w:jc w:val="both"/>
      </w:pPr>
      <w:r>
        <w:rPr>
          <w:rFonts w:ascii="Times New Roman" w:hAnsi="Times New Roman"/>
          <w:b w:val="0"/>
          <w:color w:val="000000"/>
          <w:sz w:val="28"/>
        </w:rPr>
        <w:t>Результаты GitHub доступны рядом с обсуждаемыми изменениями, однако внешнему потребителю может быть видна лишь часть проверок. Отсутствие публичных предупреждений не позволяет считать проверку выполненной. Сведения площадки необходимо связывать с выбранной версией и доступностью исходных данных.</w:t>
      </w:r>
    </w:p>
    <w:p>
      <w:pPr>
        <w:keepNext w:val="0"/>
        <w:keepLines w:val="0"/>
        <w:pageBreakBefore w:val="0"/>
        <w:widowControl/>
        <w:spacing w:line="360" w:lineRule="auto" w:before="0" w:after="0"/>
        <w:ind w:firstLine="709"/>
        <w:jc w:val="both"/>
      </w:pPr>
      <w:r>
        <w:rPr>
          <w:rFonts w:ascii="Times New Roman" w:hAnsi="Times New Roman"/>
          <w:b w:val="0"/>
          <w:color w:val="000000"/>
          <w:sz w:val="28"/>
        </w:rPr>
        <w:t>Рассмотренные продукты уже поддерживают рекомендации, анализ истории и поиск признаков угроз цепочки поставки. Поэтому задачу новой системы следует определять через выбранные данные и способ объяснения решения потребителю, сохраняя ограничения исходных проверок.</w:t>
      </w:r>
    </w:p>
    <w:p>
      <w:pPr>
        <w:keepNext w:val="0"/>
        <w:keepLines w:val="0"/>
        <w:pageBreakBefore w:val="0"/>
        <w:widowControl/>
        <w:spacing w:line="360" w:lineRule="auto" w:before="0" w:after="0"/>
        <w:ind w:firstLine="709"/>
        <w:jc w:val="both"/>
      </w:pPr>
      <w:r>
        <w:rPr>
          <w:rFonts w:ascii="Times New Roman" w:hAnsi="Times New Roman"/>
          <w:b w:val="0"/>
          <w:color w:val="000000"/>
          <w:sz w:val="28"/>
        </w:rPr>
        <w:t>Открытые инструменты дополняют возможности коммерческих платформ. OpenSSF Scorecard проверяет наблюдаемые практики открытого проекта и возвращает оценки с уровнем значимости риска [35]. Среди проверок — ревью, защита ветвей, тестирование и обновление зависимостей [10]. В отличие от проверки уязвимой версии, результат характеризует условия разработки.</w:t>
      </w:r>
    </w:p>
    <w:p>
      <w:pPr>
        <w:keepNext w:val="0"/>
        <w:keepLines w:val="0"/>
        <w:pageBreakBefore w:val="0"/>
        <w:widowControl/>
        <w:spacing w:line="360" w:lineRule="auto" w:before="0" w:after="0"/>
        <w:ind w:firstLine="709"/>
        <w:jc w:val="both"/>
      </w:pPr>
      <w:r>
        <w:rPr>
          <w:rFonts w:ascii="Times New Roman" w:hAnsi="Times New Roman"/>
          <w:b w:val="0"/>
          <w:color w:val="000000"/>
          <w:sz w:val="28"/>
        </w:rPr>
        <w:t>Открытый код и публичное описание проверок Scorecard позволяют проследить основание результата [36]. Ограничение связано с поддерживаемыми механизмами и доступными правами: низкая оценка может требовать уточнения причины. Балл практики не является вероятностью наличия бэкдора.</w:t>
      </w:r>
    </w:p>
    <w:p>
      <w:pPr>
        <w:keepNext w:val="0"/>
        <w:keepLines w:val="0"/>
        <w:pageBreakBefore w:val="0"/>
        <w:widowControl/>
        <w:spacing w:line="360" w:lineRule="auto" w:before="0" w:after="0"/>
        <w:ind w:firstLine="709"/>
        <w:jc w:val="both"/>
      </w:pPr>
      <w:r>
        <w:rPr>
          <w:rFonts w:ascii="Times New Roman" w:hAnsi="Times New Roman"/>
          <w:b w:val="0"/>
          <w:color w:val="000000"/>
          <w:sz w:val="28"/>
        </w:rPr>
        <w:t>OWASP Dependency-Track использует SBOM для учёта компонентов в портфеле приложений, отслеживания версий и интеграции через API [37]. Подход полезен для пересмотра состояния уже используемого состава по мере появления новых находок.</w:t>
      </w:r>
    </w:p>
    <w:p>
      <w:pPr>
        <w:keepNext w:val="0"/>
        <w:keepLines w:val="0"/>
        <w:pageBreakBefore w:val="0"/>
        <w:widowControl/>
        <w:spacing w:line="360" w:lineRule="auto" w:before="0" w:after="0"/>
        <w:ind w:firstLine="709"/>
        <w:jc w:val="both"/>
      </w:pPr>
      <w:r>
        <w:rPr>
          <w:rFonts w:ascii="Times New Roman" w:hAnsi="Times New Roman"/>
          <w:b w:val="0"/>
          <w:color w:val="000000"/>
          <w:sz w:val="28"/>
        </w:rPr>
        <w:t>Полнота SBOM и идентификация компонентов ограничивают качество проверки [38]. Правила по хешам позволяют отмечать заранее известные вредоносные или изменённые пакеты [39, 40], но не являются самостоятельным поведенческим анализом. Поле recommendation в формате выгрузки находок содержит сведения об исправлении [41]. История ревью и распределение полномочий из одного перечня компонентов не восстанавливаются.</w:t>
      </w:r>
    </w:p>
    <w:p>
      <w:pPr>
        <w:keepNext w:val="0"/>
        <w:keepLines w:val="0"/>
        <w:pageBreakBefore w:val="0"/>
        <w:widowControl/>
        <w:spacing w:line="360" w:lineRule="auto" w:before="0" w:after="0"/>
        <w:ind w:firstLine="709"/>
        <w:jc w:val="both"/>
      </w:pPr>
      <w:r>
        <w:rPr>
          <w:rFonts w:ascii="Times New Roman" w:hAnsi="Times New Roman"/>
          <w:b w:val="0"/>
          <w:color w:val="000000"/>
          <w:sz w:val="28"/>
        </w:rPr>
        <w:t>CHAOSS предлагает метрики устойчивости сообществ, распределения вклада и зависимости от ключевых участников. Contributor Absence Factor характеризует концентрацию вклада и последствия ухода участников [42]. Эти метрики служат методической основой анализа процесса.</w:t>
      </w:r>
    </w:p>
    <w:p>
      <w:pPr>
        <w:keepNext w:val="0"/>
        <w:keepLines w:val="0"/>
        <w:pageBreakBefore w:val="0"/>
        <w:widowControl/>
        <w:spacing w:line="360" w:lineRule="auto" w:before="0" w:after="0"/>
        <w:ind w:firstLine="709"/>
        <w:jc w:val="both"/>
      </w:pPr>
      <w:r>
        <w:rPr>
          <w:rFonts w:ascii="Times New Roman" w:hAnsi="Times New Roman"/>
          <w:b w:val="0"/>
          <w:color w:val="000000"/>
          <w:sz w:val="28"/>
        </w:rPr>
        <w:t>Изменение активности требует контекста: завершённый проект и постоянно развиваемая платформа имеют разные потребности. CHAOSS рекомендует учитывать характер работы и уточнять интерпретацию с участниками [9]. При внешнем анализе метрика может обосновывать дополнительную проверку, но не вывод о намерениях команды.</w:t>
      </w:r>
    </w:p>
    <w:p>
      <w:pPr>
        <w:keepNext w:val="0"/>
        <w:keepLines w:val="0"/>
        <w:pageBreakBefore w:val="0"/>
        <w:widowControl/>
        <w:spacing w:line="360" w:lineRule="auto" w:before="0" w:after="0"/>
        <w:ind w:firstLine="709"/>
        <w:jc w:val="both"/>
      </w:pPr>
      <w:r>
        <w:rPr>
          <w:rFonts w:ascii="Times New Roman" w:hAnsi="Times New Roman"/>
          <w:b w:val="0"/>
          <w:color w:val="000000"/>
          <w:sz w:val="28"/>
        </w:rPr>
        <w:t>NIST SSDF, SLSA и OWASP SCVS задают направления контроля разработки и компонентов [1, 2, 7]. Для автоматизации их положения необходимо связать с наблюдаемыми признаками, источниками и ограничениями проверки.</w:t>
      </w:r>
    </w:p>
    <w:p>
      <w:pPr>
        <w:keepNext w:val="0"/>
        <w:keepLines w:val="0"/>
        <w:pageBreakBefore w:val="0"/>
        <w:widowControl/>
        <w:spacing w:line="360" w:lineRule="auto" w:before="0" w:after="0"/>
        <w:ind w:firstLine="709"/>
        <w:jc w:val="both"/>
      </w:pPr>
      <w:r>
        <w:rPr>
          <w:rFonts w:ascii="Times New Roman" w:hAnsi="Times New Roman"/>
          <w:b w:val="0"/>
          <w:color w:val="000000"/>
          <w:sz w:val="28"/>
        </w:rPr>
        <w:t>Результаты функционального сравнения сведены в таблицы 1.3–1.5. В них представлены те же 99 оценок, что в аналитическом отчёте: 51 «Да», 1 «Нет» и 47 «Не установлено». Матрицы отражают документированный охват функций выбранных средств. «Н/у» означает «Не установлено».</w:t>
      </w:r>
    </w:p>
    <w:p>
      <w:pPr>
        <w:keepNext w:val="0"/>
        <w:keepLines w:val="0"/>
        <w:pageBreakBefore w:val="0"/>
        <w:widowControl/>
        <w:spacing w:line="360" w:lineRule="auto" w:before="0" w:after="0"/>
        <w:ind w:firstLine="709"/>
        <w:jc w:val="both"/>
      </w:pPr>
      <w:r>
        <w:rPr>
          <w:rFonts w:ascii="Times New Roman" w:hAnsi="Times New Roman"/>
          <w:b w:val="0"/>
          <w:color w:val="000000"/>
          <w:sz w:val="28"/>
        </w:rPr>
        <w:t>Единицей сравнения служит выбранный модуль и его способ работы: Snyk Open Source рассматривается как средство анализа зависимостей, Socket — как средство анализа сторонних пакетов, CodeQL — как средство анализа кода приложения. Импорт SBOM учитывается в C01 отдельно от самостоятельного выявления зависимостей. Источники и разделы каждой оценки сохранены в реестре отчёта.</w:t>
      </w:r>
    </w:p>
    <w:p w:rsidR="00000001">
      <w:pPr>
        <w:keepNext/>
        <w:keepLines w:val="0"/>
        <w:pageBreakBefore w:val="0"/>
        <w:widowControl/>
        <w:spacing w:line="240" w:lineRule="auto" w:before="160" w:after="120"/>
        <w:ind w:firstLine="0"/>
        <w:jc w:val="left"/>
      </w:pPr>
      <w:r>
        <w:rPr>
          <w:rFonts w:ascii="Times New Roman" w:hAnsi="Times New Roman"/>
          <w:b w:val="0"/>
          <w:color w:val="000000"/>
          <w:sz w:val="28"/>
        </w:rPr>
        <w:t>Таблица 1.3 — Технические возможности рассмотренных средств анализа</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551"/>
        <w:gridCol w:w="1701"/>
        <w:gridCol w:w="1701"/>
        <w:gridCol w:w="1701"/>
        <w:gridCol w:w="1701"/>
      </w:tblGrid>
      <w:tr>
        <w:trPr>
          <w:cantSplit/>
          <w:tblHeader/>
        </w:trPr>
        <w:tc>
          <w:tcPr>
            <w:tcW w:type="dxa" w:w="2551"/>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color w:val="000000"/>
                <w:sz w:val="22"/>
              </w:rPr>
              <w:t>Объект</w:t>
            </w:r>
          </w:p>
        </w:tc>
        <w:tc>
          <w:tcPr>
            <w:tcW w:type="dxa" w:w="1701"/>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color w:val="000000"/>
                <w:sz w:val="22"/>
              </w:rPr>
              <w:t>C01</w:t>
              <w:br/>
              <w:t>Состав компонентов</w:t>
            </w:r>
          </w:p>
        </w:tc>
        <w:tc>
          <w:tcPr>
            <w:tcW w:type="dxa" w:w="1701"/>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color w:val="000000"/>
                <w:sz w:val="22"/>
              </w:rPr>
              <w:t>C02</w:t>
              <w:br/>
              <w:t>Известные уязвимости</w:t>
            </w:r>
          </w:p>
        </w:tc>
        <w:tc>
          <w:tcPr>
            <w:tcW w:type="dxa" w:w="1701"/>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color w:val="000000"/>
                <w:sz w:val="22"/>
              </w:rPr>
              <w:t>C03</w:t>
              <w:br/>
              <w:t>Вредоносные пакеты</w:t>
            </w:r>
          </w:p>
        </w:tc>
        <w:tc>
          <w:tcPr>
            <w:tcW w:type="dxa" w:w="1701"/>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color w:val="000000"/>
                <w:sz w:val="22"/>
              </w:rPr>
              <w:t>C04</w:t>
              <w:br/>
              <w:t>SAST исходного кода</w:t>
            </w:r>
          </w:p>
        </w:tc>
      </w:tr>
      <w:tr>
        <w:trPr>
          <w:cantSplit/>
        </w:trPr>
        <w:tc>
          <w:tcPr>
            <w:tcW w:type="dxa" w:w="2551"/>
            <w:vAlign w:val="center"/>
            <w:tcMar>
              <w:top w:w="70" w:type="dxa"/>
              <w:bottom w:w="70" w:type="dxa"/>
              <w:left w:w="85" w:type="dxa"/>
              <w:right w:w="85" w:type="dxa"/>
            </w:tcMar>
          </w:tcPr>
          <w:p>
            <w:pPr>
              <w:keepNext/>
              <w:keepLines/>
              <w:spacing w:line="240" w:lineRule="auto" w:before="0" w:after="0"/>
              <w:ind w:firstLine="0"/>
              <w:jc w:val="left"/>
            </w:pPr>
            <w:r>
              <w:rPr>
                <w:rFonts w:ascii="Times New Roman" w:hAnsi="Times New Roman"/>
                <w:b w:val="0"/>
                <w:color w:val="000000"/>
                <w:sz w:val="24"/>
              </w:rPr>
              <w:t>CodeScoring SCA + OSA</w:t>
            </w:r>
          </w:p>
        </w:tc>
        <w:tc>
          <w:tcPr>
            <w:tcW w:type="dxa" w:w="1701"/>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Да</w:t>
            </w:r>
          </w:p>
        </w:tc>
        <w:tc>
          <w:tcPr>
            <w:tcW w:type="dxa" w:w="1701"/>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Да</w:t>
            </w:r>
          </w:p>
        </w:tc>
        <w:tc>
          <w:tcPr>
            <w:tcW w:type="dxa" w:w="1701"/>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Да</w:t>
            </w:r>
          </w:p>
        </w:tc>
        <w:tc>
          <w:tcPr>
            <w:tcW w:type="dxa" w:w="1701"/>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Н/у</w:t>
            </w:r>
          </w:p>
        </w:tc>
      </w:tr>
      <w:tr>
        <w:trPr>
          <w:cantSplit/>
        </w:trPr>
        <w:tc>
          <w:tcPr>
            <w:tcW w:type="dxa" w:w="2551"/>
            <w:vAlign w:val="center"/>
            <w:tcMar>
              <w:top w:w="70" w:type="dxa"/>
              <w:bottom w:w="70" w:type="dxa"/>
              <w:left w:w="85" w:type="dxa"/>
              <w:right w:w="85" w:type="dxa"/>
            </w:tcMar>
          </w:tcPr>
          <w:p>
            <w:pPr>
              <w:keepNext/>
              <w:keepLines/>
              <w:spacing w:line="240" w:lineRule="auto" w:before="0" w:after="0"/>
              <w:ind w:firstLine="0"/>
              <w:jc w:val="left"/>
            </w:pPr>
            <w:r>
              <w:rPr>
                <w:rFonts w:ascii="Times New Roman" w:hAnsi="Times New Roman"/>
                <w:b w:val="0"/>
                <w:color w:val="000000"/>
                <w:sz w:val="24"/>
              </w:rPr>
              <w:t>CodeScoring TQI</w:t>
            </w:r>
          </w:p>
        </w:tc>
        <w:tc>
          <w:tcPr>
            <w:tcW w:type="dxa" w:w="1701"/>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Н/у</w:t>
            </w:r>
          </w:p>
        </w:tc>
        <w:tc>
          <w:tcPr>
            <w:tcW w:type="dxa" w:w="1701"/>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Н/у</w:t>
            </w:r>
          </w:p>
        </w:tc>
        <w:tc>
          <w:tcPr>
            <w:tcW w:type="dxa" w:w="1701"/>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Н/у</w:t>
            </w:r>
          </w:p>
        </w:tc>
        <w:tc>
          <w:tcPr>
            <w:tcW w:type="dxa" w:w="1701"/>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Н/у</w:t>
            </w:r>
          </w:p>
        </w:tc>
      </w:tr>
      <w:tr>
        <w:trPr>
          <w:cantSplit/>
        </w:trPr>
        <w:tc>
          <w:tcPr>
            <w:tcW w:type="dxa" w:w="2551"/>
            <w:vAlign w:val="center"/>
            <w:tcMar>
              <w:top w:w="70" w:type="dxa"/>
              <w:bottom w:w="70" w:type="dxa"/>
              <w:left w:w="85" w:type="dxa"/>
              <w:right w:w="85" w:type="dxa"/>
            </w:tcMar>
          </w:tcPr>
          <w:p>
            <w:pPr>
              <w:keepNext/>
              <w:keepLines/>
              <w:spacing w:line="240" w:lineRule="auto" w:before="0" w:after="0"/>
              <w:ind w:firstLine="0"/>
              <w:jc w:val="left"/>
            </w:pPr>
            <w:r>
              <w:rPr>
                <w:rFonts w:ascii="Times New Roman" w:hAnsi="Times New Roman"/>
                <w:b w:val="0"/>
                <w:color w:val="000000"/>
                <w:sz w:val="24"/>
              </w:rPr>
              <w:t>Snyk Open Source</w:t>
            </w:r>
          </w:p>
        </w:tc>
        <w:tc>
          <w:tcPr>
            <w:tcW w:type="dxa" w:w="1701"/>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Да</w:t>
            </w:r>
          </w:p>
        </w:tc>
        <w:tc>
          <w:tcPr>
            <w:tcW w:type="dxa" w:w="1701"/>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Да</w:t>
            </w:r>
          </w:p>
        </w:tc>
        <w:tc>
          <w:tcPr>
            <w:tcW w:type="dxa" w:w="1701"/>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Да</w:t>
            </w:r>
          </w:p>
        </w:tc>
        <w:tc>
          <w:tcPr>
            <w:tcW w:type="dxa" w:w="1701"/>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Н/у</w:t>
            </w:r>
          </w:p>
        </w:tc>
      </w:tr>
      <w:tr>
        <w:trPr>
          <w:cantSplit/>
        </w:trPr>
        <w:tc>
          <w:tcPr>
            <w:tcW w:type="dxa" w:w="2551"/>
            <w:vAlign w:val="center"/>
            <w:tcMar>
              <w:top w:w="70" w:type="dxa"/>
              <w:bottom w:w="70" w:type="dxa"/>
              <w:left w:w="85" w:type="dxa"/>
              <w:right w:w="85" w:type="dxa"/>
            </w:tcMar>
          </w:tcPr>
          <w:p>
            <w:pPr>
              <w:keepNext/>
              <w:keepLines/>
              <w:spacing w:line="240" w:lineRule="auto" w:before="0" w:after="0"/>
              <w:ind w:firstLine="0"/>
              <w:jc w:val="left"/>
            </w:pPr>
            <w:r>
              <w:rPr>
                <w:rFonts w:ascii="Times New Roman" w:hAnsi="Times New Roman"/>
                <w:b w:val="0"/>
                <w:color w:val="000000"/>
                <w:sz w:val="24"/>
              </w:rPr>
              <w:t>Sonatype Lifecycle</w:t>
            </w:r>
          </w:p>
        </w:tc>
        <w:tc>
          <w:tcPr>
            <w:tcW w:type="dxa" w:w="1701"/>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Да</w:t>
            </w:r>
          </w:p>
        </w:tc>
        <w:tc>
          <w:tcPr>
            <w:tcW w:type="dxa" w:w="1701"/>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Да</w:t>
            </w:r>
          </w:p>
        </w:tc>
        <w:tc>
          <w:tcPr>
            <w:tcW w:type="dxa" w:w="1701"/>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Да</w:t>
            </w:r>
          </w:p>
        </w:tc>
        <w:tc>
          <w:tcPr>
            <w:tcW w:type="dxa" w:w="1701"/>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Н/у</w:t>
            </w:r>
          </w:p>
        </w:tc>
      </w:tr>
      <w:tr>
        <w:trPr>
          <w:cantSplit/>
        </w:trPr>
        <w:tc>
          <w:tcPr>
            <w:tcW w:type="dxa" w:w="2551"/>
            <w:vAlign w:val="center"/>
            <w:tcMar>
              <w:top w:w="70" w:type="dxa"/>
              <w:bottom w:w="70" w:type="dxa"/>
              <w:left w:w="85" w:type="dxa"/>
              <w:right w:w="85" w:type="dxa"/>
            </w:tcMar>
          </w:tcPr>
          <w:p>
            <w:pPr>
              <w:keepNext/>
              <w:keepLines/>
              <w:spacing w:line="240" w:lineRule="auto" w:before="0" w:after="0"/>
              <w:ind w:firstLine="0"/>
              <w:jc w:val="left"/>
            </w:pPr>
            <w:r>
              <w:rPr>
                <w:rFonts w:ascii="Times New Roman" w:hAnsi="Times New Roman"/>
                <w:b w:val="0"/>
                <w:color w:val="000000"/>
                <w:sz w:val="24"/>
              </w:rPr>
              <w:t>Socket</w:t>
            </w:r>
          </w:p>
        </w:tc>
        <w:tc>
          <w:tcPr>
            <w:tcW w:type="dxa" w:w="1701"/>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Да</w:t>
            </w:r>
          </w:p>
        </w:tc>
        <w:tc>
          <w:tcPr>
            <w:tcW w:type="dxa" w:w="1701"/>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Да</w:t>
            </w:r>
          </w:p>
        </w:tc>
        <w:tc>
          <w:tcPr>
            <w:tcW w:type="dxa" w:w="1701"/>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Да</w:t>
            </w:r>
          </w:p>
        </w:tc>
        <w:tc>
          <w:tcPr>
            <w:tcW w:type="dxa" w:w="1701"/>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Нет</w:t>
            </w:r>
          </w:p>
        </w:tc>
      </w:tr>
      <w:tr>
        <w:trPr>
          <w:cantSplit/>
        </w:trPr>
        <w:tc>
          <w:tcPr>
            <w:tcW w:type="dxa" w:w="2551"/>
            <w:vAlign w:val="center"/>
            <w:tcMar>
              <w:top w:w="70" w:type="dxa"/>
              <w:bottom w:w="70" w:type="dxa"/>
              <w:left w:w="85" w:type="dxa"/>
              <w:right w:w="85" w:type="dxa"/>
            </w:tcMar>
          </w:tcPr>
          <w:p>
            <w:pPr>
              <w:keepNext/>
              <w:keepLines/>
              <w:spacing w:line="240" w:lineRule="auto" w:before="0" w:after="0"/>
              <w:ind w:firstLine="0"/>
              <w:jc w:val="left"/>
            </w:pPr>
            <w:r>
              <w:rPr>
                <w:rFonts w:ascii="Times New Roman" w:hAnsi="Times New Roman"/>
                <w:b w:val="0"/>
                <w:color w:val="000000"/>
                <w:sz w:val="24"/>
              </w:rPr>
              <w:t>GitHub Dependabot</w:t>
            </w:r>
          </w:p>
        </w:tc>
        <w:tc>
          <w:tcPr>
            <w:tcW w:type="dxa" w:w="1701"/>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Да</w:t>
            </w:r>
          </w:p>
        </w:tc>
        <w:tc>
          <w:tcPr>
            <w:tcW w:type="dxa" w:w="1701"/>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Да</w:t>
            </w:r>
          </w:p>
        </w:tc>
        <w:tc>
          <w:tcPr>
            <w:tcW w:type="dxa" w:w="1701"/>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Да</w:t>
            </w:r>
          </w:p>
        </w:tc>
        <w:tc>
          <w:tcPr>
            <w:tcW w:type="dxa" w:w="1701"/>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Н/у</w:t>
            </w:r>
          </w:p>
        </w:tc>
      </w:tr>
      <w:tr>
        <w:trPr>
          <w:cantSplit/>
        </w:trPr>
        <w:tc>
          <w:tcPr>
            <w:tcW w:type="dxa" w:w="2551"/>
            <w:vAlign w:val="center"/>
            <w:tcMar>
              <w:top w:w="70" w:type="dxa"/>
              <w:bottom w:w="70" w:type="dxa"/>
              <w:left w:w="85" w:type="dxa"/>
              <w:right w:w="85" w:type="dxa"/>
            </w:tcMar>
          </w:tcPr>
          <w:p>
            <w:pPr>
              <w:keepNext/>
              <w:keepLines/>
              <w:spacing w:line="240" w:lineRule="auto" w:before="0" w:after="0"/>
              <w:ind w:firstLine="0"/>
              <w:jc w:val="left"/>
            </w:pPr>
            <w:r>
              <w:rPr>
                <w:rFonts w:ascii="Times New Roman" w:hAnsi="Times New Roman"/>
                <w:b w:val="0"/>
                <w:color w:val="000000"/>
                <w:sz w:val="24"/>
              </w:rPr>
              <w:t>GitHub CodeQL</w:t>
            </w:r>
          </w:p>
        </w:tc>
        <w:tc>
          <w:tcPr>
            <w:tcW w:type="dxa" w:w="1701"/>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Н/у</w:t>
            </w:r>
          </w:p>
        </w:tc>
        <w:tc>
          <w:tcPr>
            <w:tcW w:type="dxa" w:w="1701"/>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Н/у</w:t>
            </w:r>
          </w:p>
        </w:tc>
        <w:tc>
          <w:tcPr>
            <w:tcW w:type="dxa" w:w="1701"/>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Н/у</w:t>
            </w:r>
          </w:p>
        </w:tc>
        <w:tc>
          <w:tcPr>
            <w:tcW w:type="dxa" w:w="1701"/>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Да</w:t>
            </w:r>
          </w:p>
        </w:tc>
      </w:tr>
      <w:tr>
        <w:trPr>
          <w:cantSplit/>
        </w:trPr>
        <w:tc>
          <w:tcPr>
            <w:tcW w:type="dxa" w:w="2551"/>
            <w:vAlign w:val="center"/>
            <w:tcMar>
              <w:top w:w="70" w:type="dxa"/>
              <w:bottom w:w="70" w:type="dxa"/>
              <w:left w:w="85" w:type="dxa"/>
              <w:right w:w="85" w:type="dxa"/>
            </w:tcMar>
          </w:tcPr>
          <w:p>
            <w:pPr>
              <w:keepNext/>
              <w:keepLines/>
              <w:spacing w:line="240" w:lineRule="auto" w:before="0" w:after="0"/>
              <w:ind w:firstLine="0"/>
              <w:jc w:val="left"/>
            </w:pPr>
            <w:r>
              <w:rPr>
                <w:rFonts w:ascii="Times New Roman" w:hAnsi="Times New Roman"/>
                <w:b w:val="0"/>
                <w:color w:val="000000"/>
                <w:sz w:val="24"/>
              </w:rPr>
              <w:t>OpenSSF Scorecard</w:t>
            </w:r>
          </w:p>
        </w:tc>
        <w:tc>
          <w:tcPr>
            <w:tcW w:type="dxa" w:w="1701"/>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Н/у</w:t>
            </w:r>
          </w:p>
        </w:tc>
        <w:tc>
          <w:tcPr>
            <w:tcW w:type="dxa" w:w="1701"/>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Да</w:t>
            </w:r>
          </w:p>
        </w:tc>
        <w:tc>
          <w:tcPr>
            <w:tcW w:type="dxa" w:w="1701"/>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Н/у</w:t>
            </w:r>
          </w:p>
        </w:tc>
        <w:tc>
          <w:tcPr>
            <w:tcW w:type="dxa" w:w="1701"/>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Н/у</w:t>
            </w:r>
          </w:p>
        </w:tc>
      </w:tr>
      <w:tr>
        <w:trPr>
          <w:cantSplit/>
        </w:trPr>
        <w:tc>
          <w:tcPr>
            <w:tcW w:type="dxa" w:w="2551"/>
            <w:vAlign w:val="center"/>
            <w:tcMar>
              <w:top w:w="70" w:type="dxa"/>
              <w:bottom w:w="70" w:type="dxa"/>
              <w:left w:w="85" w:type="dxa"/>
              <w:right w:w="85" w:type="dxa"/>
            </w:tcMar>
          </w:tcPr>
          <w:p>
            <w:pPr>
              <w:keepNext w:val="0"/>
              <w:keepLines/>
              <w:spacing w:line="240" w:lineRule="auto" w:before="0" w:after="0"/>
              <w:ind w:firstLine="0"/>
              <w:jc w:val="left"/>
            </w:pPr>
            <w:r>
              <w:rPr>
                <w:rFonts w:ascii="Times New Roman" w:hAnsi="Times New Roman"/>
                <w:b w:val="0"/>
                <w:color w:val="000000"/>
                <w:sz w:val="24"/>
              </w:rPr>
              <w:t>OWASP Dependency-Track</w:t>
            </w:r>
          </w:p>
        </w:tc>
        <w:tc>
          <w:tcPr>
            <w:tcW w:type="dxa" w:w="1701"/>
            <w:vAlign w:val="center"/>
            <w:tcMar>
              <w:top w:w="70" w:type="dxa"/>
              <w:bottom w:w="70" w:type="dxa"/>
              <w:left w:w="85" w:type="dxa"/>
              <w:right w:w="85" w:type="dxa"/>
            </w:tcMar>
          </w:tcPr>
          <w:p>
            <w:pPr>
              <w:keepNext w:val="0"/>
              <w:keepLines/>
              <w:spacing w:line="240" w:lineRule="auto" w:before="0" w:after="0"/>
              <w:ind w:firstLine="0"/>
              <w:jc w:val="center"/>
            </w:pPr>
            <w:r>
              <w:rPr>
                <w:rFonts w:ascii="Times New Roman" w:hAnsi="Times New Roman"/>
                <w:b w:val="0"/>
                <w:color w:val="000000"/>
                <w:sz w:val="24"/>
              </w:rPr>
              <w:t>Да</w:t>
            </w:r>
          </w:p>
        </w:tc>
        <w:tc>
          <w:tcPr>
            <w:tcW w:type="dxa" w:w="1701"/>
            <w:vAlign w:val="center"/>
            <w:tcMar>
              <w:top w:w="70" w:type="dxa"/>
              <w:bottom w:w="70" w:type="dxa"/>
              <w:left w:w="85" w:type="dxa"/>
              <w:right w:w="85" w:type="dxa"/>
            </w:tcMar>
          </w:tcPr>
          <w:p>
            <w:pPr>
              <w:keepNext w:val="0"/>
              <w:keepLines/>
              <w:spacing w:line="240" w:lineRule="auto" w:before="0" w:after="0"/>
              <w:ind w:firstLine="0"/>
              <w:jc w:val="center"/>
            </w:pPr>
            <w:r>
              <w:rPr>
                <w:rFonts w:ascii="Times New Roman" w:hAnsi="Times New Roman"/>
                <w:b w:val="0"/>
                <w:color w:val="000000"/>
                <w:sz w:val="24"/>
              </w:rPr>
              <w:t>Да</w:t>
            </w:r>
          </w:p>
        </w:tc>
        <w:tc>
          <w:tcPr>
            <w:tcW w:type="dxa" w:w="1701"/>
            <w:vAlign w:val="center"/>
            <w:tcMar>
              <w:top w:w="70" w:type="dxa"/>
              <w:bottom w:w="70" w:type="dxa"/>
              <w:left w:w="85" w:type="dxa"/>
              <w:right w:w="85" w:type="dxa"/>
            </w:tcMar>
          </w:tcPr>
          <w:p>
            <w:pPr>
              <w:keepNext w:val="0"/>
              <w:keepLines/>
              <w:spacing w:line="240" w:lineRule="auto" w:before="0" w:after="0"/>
              <w:ind w:firstLine="0"/>
              <w:jc w:val="center"/>
            </w:pPr>
            <w:r>
              <w:rPr>
                <w:rFonts w:ascii="Times New Roman" w:hAnsi="Times New Roman"/>
                <w:b w:val="0"/>
                <w:color w:val="000000"/>
                <w:sz w:val="24"/>
              </w:rPr>
              <w:t>Да</w:t>
            </w:r>
          </w:p>
        </w:tc>
        <w:tc>
          <w:tcPr>
            <w:tcW w:type="dxa" w:w="1701"/>
            <w:vAlign w:val="center"/>
            <w:tcMar>
              <w:top w:w="70" w:type="dxa"/>
              <w:bottom w:w="70" w:type="dxa"/>
              <w:left w:w="85" w:type="dxa"/>
              <w:right w:w="85" w:type="dxa"/>
            </w:tcMar>
          </w:tcPr>
          <w:p>
            <w:pPr>
              <w:keepNext w:val="0"/>
              <w:keepLines/>
              <w:spacing w:line="240" w:lineRule="auto" w:before="0" w:after="0"/>
              <w:ind w:firstLine="0"/>
              <w:jc w:val="center"/>
            </w:pPr>
            <w:r>
              <w:rPr>
                <w:rFonts w:ascii="Times New Roman" w:hAnsi="Times New Roman"/>
                <w:b w:val="0"/>
                <w:color w:val="000000"/>
                <w:sz w:val="24"/>
              </w:rPr>
              <w:t>Н/у</w:t>
            </w:r>
          </w:p>
        </w:tc>
      </w:tr>
    </w:tbl>
    <w:p>
      <w:pPr>
        <w:keepNext w:val="0"/>
        <w:keepLines w:val="0"/>
        <w:pageBreakBefore w:val="0"/>
        <w:widowControl/>
        <w:spacing w:line="360" w:lineRule="auto" w:before="0" w:after="0"/>
        <w:ind w:firstLine="709"/>
        <w:jc w:val="both"/>
      </w:pPr>
      <w:r>
        <w:rPr>
          <w:rFonts w:ascii="Times New Roman" w:hAnsi="Times New Roman"/>
          <w:b w:val="0"/>
          <w:color w:val="000000"/>
          <w:sz w:val="28"/>
        </w:rPr>
        <w:t>Состав компонентов подтверждён у 6 объектов, известные уязвимости — у 7, работа с вредоносными пакетами — у 6. При этом Snyk сопоставляет пакеты с известными записями [20], а Dependency-Track может использовать заданные хеши [40]. Совпадение статусов не означает равенства методов.</w:t>
      </w:r>
    </w:p>
    <w:p>
      <w:pPr>
        <w:keepNext w:val="0"/>
        <w:keepLines w:val="0"/>
        <w:pageBreakBefore w:val="0"/>
        <w:widowControl/>
        <w:spacing w:line="360" w:lineRule="auto" w:before="0" w:after="0"/>
        <w:ind w:firstLine="709"/>
        <w:jc w:val="both"/>
      </w:pPr>
      <w:r>
        <w:rPr>
          <w:rFonts w:ascii="Times New Roman" w:hAnsi="Times New Roman"/>
          <w:b w:val="0"/>
          <w:color w:val="000000"/>
          <w:sz w:val="28"/>
        </w:rPr>
        <w:t>По C04 положительная оценка относится к CodeQL. Статический анализ сторонних пакетов Socket не заменяет SAST кода приложения [26]. Для остальных выбранных модулей эта функция в изученном корпусе не установлена.</w:t>
      </w:r>
    </w:p>
    <w:p w:rsidR="00000001">
      <w:pPr>
        <w:keepNext/>
        <w:keepLines w:val="0"/>
        <w:pageBreakBefore w:val="0"/>
        <w:widowControl/>
        <w:spacing w:line="240" w:lineRule="auto" w:before="160" w:after="120"/>
        <w:ind w:firstLine="0"/>
        <w:jc w:val="left"/>
      </w:pPr>
      <w:r>
        <w:rPr>
          <w:rFonts w:ascii="Times New Roman" w:hAnsi="Times New Roman"/>
          <w:b w:val="0"/>
          <w:color w:val="000000"/>
          <w:sz w:val="28"/>
        </w:rPr>
        <w:t>Таблица 1.4 — Возможности анализа практик разработки и участия в проекте</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551"/>
        <w:gridCol w:w="1701"/>
        <w:gridCol w:w="1701"/>
        <w:gridCol w:w="1701"/>
        <w:gridCol w:w="1701"/>
      </w:tblGrid>
      <w:tr>
        <w:trPr>
          <w:cantSplit/>
          <w:tblHeader/>
        </w:trPr>
        <w:tc>
          <w:tcPr>
            <w:tcW w:type="dxa" w:w="2551"/>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color w:val="000000"/>
                <w:sz w:val="22"/>
              </w:rPr>
              <w:t>Объект</w:t>
            </w:r>
          </w:p>
        </w:tc>
        <w:tc>
          <w:tcPr>
            <w:tcW w:type="dxa" w:w="1701"/>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color w:val="000000"/>
                <w:sz w:val="22"/>
              </w:rPr>
              <w:t>C05</w:t>
              <w:br/>
              <w:t>Защитные практики</w:t>
            </w:r>
          </w:p>
        </w:tc>
        <w:tc>
          <w:tcPr>
            <w:tcW w:type="dxa" w:w="1701"/>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color w:val="000000"/>
                <w:sz w:val="22"/>
              </w:rPr>
              <w:t>C06</w:t>
              <w:br/>
              <w:t>Вклад разработчиков</w:t>
            </w:r>
          </w:p>
        </w:tc>
        <w:tc>
          <w:tcPr>
            <w:tcW w:type="dxa" w:w="1701"/>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color w:val="000000"/>
                <w:sz w:val="22"/>
              </w:rPr>
              <w:t>C07</w:t>
              <w:br/>
              <w:t>Смена публикующих участников</w:t>
            </w:r>
          </w:p>
        </w:tc>
        <w:tc>
          <w:tcPr>
            <w:tcW w:type="dxa" w:w="1701"/>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color w:val="000000"/>
                <w:sz w:val="22"/>
              </w:rPr>
              <w:t>C08</w:t>
              <w:br/>
              <w:t>Участие организаций</w:t>
            </w:r>
          </w:p>
        </w:tc>
      </w:tr>
      <w:tr>
        <w:trPr>
          <w:cantSplit/>
        </w:trPr>
        <w:tc>
          <w:tcPr>
            <w:tcW w:type="dxa" w:w="2551"/>
            <w:vAlign w:val="center"/>
            <w:tcMar>
              <w:top w:w="70" w:type="dxa"/>
              <w:bottom w:w="70" w:type="dxa"/>
              <w:left w:w="85" w:type="dxa"/>
              <w:right w:w="85" w:type="dxa"/>
            </w:tcMar>
          </w:tcPr>
          <w:p>
            <w:pPr>
              <w:keepNext/>
              <w:keepLines/>
              <w:spacing w:line="240" w:lineRule="auto" w:before="0" w:after="0"/>
              <w:ind w:firstLine="0"/>
              <w:jc w:val="left"/>
            </w:pPr>
            <w:r>
              <w:rPr>
                <w:rFonts w:ascii="Times New Roman" w:hAnsi="Times New Roman"/>
                <w:b w:val="0"/>
                <w:color w:val="000000"/>
                <w:sz w:val="24"/>
              </w:rPr>
              <w:t>CodeScoring SCA + OSA</w:t>
            </w:r>
          </w:p>
        </w:tc>
        <w:tc>
          <w:tcPr>
            <w:tcW w:type="dxa" w:w="1701"/>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Н/у</w:t>
            </w:r>
          </w:p>
        </w:tc>
        <w:tc>
          <w:tcPr>
            <w:tcW w:type="dxa" w:w="1701"/>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Н/у</w:t>
            </w:r>
          </w:p>
        </w:tc>
        <w:tc>
          <w:tcPr>
            <w:tcW w:type="dxa" w:w="1701"/>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Н/у</w:t>
            </w:r>
          </w:p>
        </w:tc>
        <w:tc>
          <w:tcPr>
            <w:tcW w:type="dxa" w:w="1701"/>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Н/у</w:t>
            </w:r>
          </w:p>
        </w:tc>
      </w:tr>
      <w:tr>
        <w:trPr>
          <w:cantSplit/>
        </w:trPr>
        <w:tc>
          <w:tcPr>
            <w:tcW w:type="dxa" w:w="2551"/>
            <w:vAlign w:val="center"/>
            <w:tcMar>
              <w:top w:w="70" w:type="dxa"/>
              <w:bottom w:w="70" w:type="dxa"/>
              <w:left w:w="85" w:type="dxa"/>
              <w:right w:w="85" w:type="dxa"/>
            </w:tcMar>
          </w:tcPr>
          <w:p>
            <w:pPr>
              <w:keepNext/>
              <w:keepLines/>
              <w:spacing w:line="240" w:lineRule="auto" w:before="0" w:after="0"/>
              <w:ind w:firstLine="0"/>
              <w:jc w:val="left"/>
            </w:pPr>
            <w:r>
              <w:rPr>
                <w:rFonts w:ascii="Times New Roman" w:hAnsi="Times New Roman"/>
                <w:b w:val="0"/>
                <w:color w:val="000000"/>
                <w:sz w:val="24"/>
              </w:rPr>
              <w:t>CodeScoring TQI</w:t>
            </w:r>
          </w:p>
        </w:tc>
        <w:tc>
          <w:tcPr>
            <w:tcW w:type="dxa" w:w="1701"/>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Н/у</w:t>
            </w:r>
          </w:p>
        </w:tc>
        <w:tc>
          <w:tcPr>
            <w:tcW w:type="dxa" w:w="1701"/>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Да</w:t>
            </w:r>
          </w:p>
        </w:tc>
        <w:tc>
          <w:tcPr>
            <w:tcW w:type="dxa" w:w="1701"/>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Н/у</w:t>
            </w:r>
          </w:p>
        </w:tc>
        <w:tc>
          <w:tcPr>
            <w:tcW w:type="dxa" w:w="1701"/>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Н/у</w:t>
            </w:r>
          </w:p>
        </w:tc>
      </w:tr>
      <w:tr>
        <w:trPr>
          <w:cantSplit/>
        </w:trPr>
        <w:tc>
          <w:tcPr>
            <w:tcW w:type="dxa" w:w="2551"/>
            <w:vAlign w:val="center"/>
            <w:tcMar>
              <w:top w:w="70" w:type="dxa"/>
              <w:bottom w:w="70" w:type="dxa"/>
              <w:left w:w="85" w:type="dxa"/>
              <w:right w:w="85" w:type="dxa"/>
            </w:tcMar>
          </w:tcPr>
          <w:p>
            <w:pPr>
              <w:keepNext/>
              <w:keepLines/>
              <w:spacing w:line="240" w:lineRule="auto" w:before="0" w:after="0"/>
              <w:ind w:firstLine="0"/>
              <w:jc w:val="left"/>
            </w:pPr>
            <w:r>
              <w:rPr>
                <w:rFonts w:ascii="Times New Roman" w:hAnsi="Times New Roman"/>
                <w:b w:val="0"/>
                <w:color w:val="000000"/>
                <w:sz w:val="24"/>
              </w:rPr>
              <w:t>Snyk Open Source</w:t>
            </w:r>
          </w:p>
        </w:tc>
        <w:tc>
          <w:tcPr>
            <w:tcW w:type="dxa" w:w="1701"/>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Н/у</w:t>
            </w:r>
          </w:p>
        </w:tc>
        <w:tc>
          <w:tcPr>
            <w:tcW w:type="dxa" w:w="1701"/>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Н/у</w:t>
            </w:r>
          </w:p>
        </w:tc>
        <w:tc>
          <w:tcPr>
            <w:tcW w:type="dxa" w:w="1701"/>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Н/у</w:t>
            </w:r>
          </w:p>
        </w:tc>
        <w:tc>
          <w:tcPr>
            <w:tcW w:type="dxa" w:w="1701"/>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Н/у</w:t>
            </w:r>
          </w:p>
        </w:tc>
      </w:tr>
      <w:tr>
        <w:trPr>
          <w:cantSplit/>
        </w:trPr>
        <w:tc>
          <w:tcPr>
            <w:tcW w:type="dxa" w:w="2551"/>
            <w:vAlign w:val="center"/>
            <w:tcMar>
              <w:top w:w="70" w:type="dxa"/>
              <w:bottom w:w="70" w:type="dxa"/>
              <w:left w:w="85" w:type="dxa"/>
              <w:right w:w="85" w:type="dxa"/>
            </w:tcMar>
          </w:tcPr>
          <w:p>
            <w:pPr>
              <w:keepNext/>
              <w:keepLines/>
              <w:spacing w:line="240" w:lineRule="auto" w:before="0" w:after="0"/>
              <w:ind w:firstLine="0"/>
              <w:jc w:val="left"/>
            </w:pPr>
            <w:r>
              <w:rPr>
                <w:rFonts w:ascii="Times New Roman" w:hAnsi="Times New Roman"/>
                <w:b w:val="0"/>
                <w:color w:val="000000"/>
                <w:sz w:val="24"/>
              </w:rPr>
              <w:t>Sonatype Lifecycle</w:t>
            </w:r>
          </w:p>
        </w:tc>
        <w:tc>
          <w:tcPr>
            <w:tcW w:type="dxa" w:w="1701"/>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Н/у</w:t>
            </w:r>
          </w:p>
        </w:tc>
        <w:tc>
          <w:tcPr>
            <w:tcW w:type="dxa" w:w="1701"/>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Н/у</w:t>
            </w:r>
          </w:p>
        </w:tc>
        <w:tc>
          <w:tcPr>
            <w:tcW w:type="dxa" w:w="1701"/>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Н/у</w:t>
            </w:r>
          </w:p>
        </w:tc>
        <w:tc>
          <w:tcPr>
            <w:tcW w:type="dxa" w:w="1701"/>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Н/у</w:t>
            </w:r>
          </w:p>
        </w:tc>
      </w:tr>
      <w:tr>
        <w:trPr>
          <w:cantSplit/>
        </w:trPr>
        <w:tc>
          <w:tcPr>
            <w:tcW w:type="dxa" w:w="2551"/>
            <w:vAlign w:val="center"/>
            <w:tcMar>
              <w:top w:w="70" w:type="dxa"/>
              <w:bottom w:w="70" w:type="dxa"/>
              <w:left w:w="85" w:type="dxa"/>
              <w:right w:w="85" w:type="dxa"/>
            </w:tcMar>
          </w:tcPr>
          <w:p>
            <w:pPr>
              <w:keepNext/>
              <w:keepLines/>
              <w:spacing w:line="240" w:lineRule="auto" w:before="0" w:after="0"/>
              <w:ind w:firstLine="0"/>
              <w:jc w:val="left"/>
            </w:pPr>
            <w:r>
              <w:rPr>
                <w:rFonts w:ascii="Times New Roman" w:hAnsi="Times New Roman"/>
                <w:b w:val="0"/>
                <w:color w:val="000000"/>
                <w:sz w:val="24"/>
              </w:rPr>
              <w:t>Socket</w:t>
            </w:r>
          </w:p>
        </w:tc>
        <w:tc>
          <w:tcPr>
            <w:tcW w:type="dxa" w:w="1701"/>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Н/у</w:t>
            </w:r>
          </w:p>
        </w:tc>
        <w:tc>
          <w:tcPr>
            <w:tcW w:type="dxa" w:w="1701"/>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Н/у</w:t>
            </w:r>
          </w:p>
        </w:tc>
        <w:tc>
          <w:tcPr>
            <w:tcW w:type="dxa" w:w="1701"/>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Да</w:t>
            </w:r>
          </w:p>
        </w:tc>
        <w:tc>
          <w:tcPr>
            <w:tcW w:type="dxa" w:w="1701"/>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Н/у</w:t>
            </w:r>
          </w:p>
        </w:tc>
      </w:tr>
      <w:tr>
        <w:trPr>
          <w:cantSplit/>
        </w:trPr>
        <w:tc>
          <w:tcPr>
            <w:tcW w:type="dxa" w:w="2551"/>
            <w:vAlign w:val="center"/>
            <w:tcMar>
              <w:top w:w="70" w:type="dxa"/>
              <w:bottom w:w="70" w:type="dxa"/>
              <w:left w:w="85" w:type="dxa"/>
              <w:right w:w="85" w:type="dxa"/>
            </w:tcMar>
          </w:tcPr>
          <w:p>
            <w:pPr>
              <w:keepNext/>
              <w:keepLines/>
              <w:spacing w:line="240" w:lineRule="auto" w:before="0" w:after="0"/>
              <w:ind w:firstLine="0"/>
              <w:jc w:val="left"/>
            </w:pPr>
            <w:r>
              <w:rPr>
                <w:rFonts w:ascii="Times New Roman" w:hAnsi="Times New Roman"/>
                <w:b w:val="0"/>
                <w:color w:val="000000"/>
                <w:sz w:val="24"/>
              </w:rPr>
              <w:t>GitHub Dependabot</w:t>
            </w:r>
          </w:p>
        </w:tc>
        <w:tc>
          <w:tcPr>
            <w:tcW w:type="dxa" w:w="1701"/>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Н/у</w:t>
            </w:r>
          </w:p>
        </w:tc>
        <w:tc>
          <w:tcPr>
            <w:tcW w:type="dxa" w:w="1701"/>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Н/у</w:t>
            </w:r>
          </w:p>
        </w:tc>
        <w:tc>
          <w:tcPr>
            <w:tcW w:type="dxa" w:w="1701"/>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Н/у</w:t>
            </w:r>
          </w:p>
        </w:tc>
        <w:tc>
          <w:tcPr>
            <w:tcW w:type="dxa" w:w="1701"/>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Н/у</w:t>
            </w:r>
          </w:p>
        </w:tc>
      </w:tr>
      <w:tr>
        <w:trPr>
          <w:cantSplit/>
        </w:trPr>
        <w:tc>
          <w:tcPr>
            <w:tcW w:type="dxa" w:w="2551"/>
            <w:vAlign w:val="center"/>
            <w:tcMar>
              <w:top w:w="70" w:type="dxa"/>
              <w:bottom w:w="70" w:type="dxa"/>
              <w:left w:w="85" w:type="dxa"/>
              <w:right w:w="85" w:type="dxa"/>
            </w:tcMar>
          </w:tcPr>
          <w:p>
            <w:pPr>
              <w:keepNext/>
              <w:keepLines/>
              <w:spacing w:line="240" w:lineRule="auto" w:before="0" w:after="0"/>
              <w:ind w:firstLine="0"/>
              <w:jc w:val="left"/>
            </w:pPr>
            <w:r>
              <w:rPr>
                <w:rFonts w:ascii="Times New Roman" w:hAnsi="Times New Roman"/>
                <w:b w:val="0"/>
                <w:color w:val="000000"/>
                <w:sz w:val="24"/>
              </w:rPr>
              <w:t>GitHub CodeQL</w:t>
            </w:r>
          </w:p>
        </w:tc>
        <w:tc>
          <w:tcPr>
            <w:tcW w:type="dxa" w:w="1701"/>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Н/у</w:t>
            </w:r>
          </w:p>
        </w:tc>
        <w:tc>
          <w:tcPr>
            <w:tcW w:type="dxa" w:w="1701"/>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Н/у</w:t>
            </w:r>
          </w:p>
        </w:tc>
        <w:tc>
          <w:tcPr>
            <w:tcW w:type="dxa" w:w="1701"/>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Н/у</w:t>
            </w:r>
          </w:p>
        </w:tc>
        <w:tc>
          <w:tcPr>
            <w:tcW w:type="dxa" w:w="1701"/>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Н/у</w:t>
            </w:r>
          </w:p>
        </w:tc>
      </w:tr>
      <w:tr>
        <w:trPr>
          <w:cantSplit/>
        </w:trPr>
        <w:tc>
          <w:tcPr>
            <w:tcW w:type="dxa" w:w="2551"/>
            <w:vAlign w:val="center"/>
            <w:tcMar>
              <w:top w:w="70" w:type="dxa"/>
              <w:bottom w:w="70" w:type="dxa"/>
              <w:left w:w="85" w:type="dxa"/>
              <w:right w:w="85" w:type="dxa"/>
            </w:tcMar>
          </w:tcPr>
          <w:p>
            <w:pPr>
              <w:keepNext/>
              <w:keepLines/>
              <w:spacing w:line="240" w:lineRule="auto" w:before="0" w:after="0"/>
              <w:ind w:firstLine="0"/>
              <w:jc w:val="left"/>
            </w:pPr>
            <w:r>
              <w:rPr>
                <w:rFonts w:ascii="Times New Roman" w:hAnsi="Times New Roman"/>
                <w:b w:val="0"/>
                <w:color w:val="000000"/>
                <w:sz w:val="24"/>
              </w:rPr>
              <w:t>OpenSSF Scorecard</w:t>
            </w:r>
          </w:p>
        </w:tc>
        <w:tc>
          <w:tcPr>
            <w:tcW w:type="dxa" w:w="1701"/>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Да</w:t>
            </w:r>
          </w:p>
        </w:tc>
        <w:tc>
          <w:tcPr>
            <w:tcW w:type="dxa" w:w="1701"/>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Да</w:t>
            </w:r>
          </w:p>
        </w:tc>
        <w:tc>
          <w:tcPr>
            <w:tcW w:type="dxa" w:w="1701"/>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Н/у</w:t>
            </w:r>
          </w:p>
        </w:tc>
        <w:tc>
          <w:tcPr>
            <w:tcW w:type="dxa" w:w="1701"/>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Да</w:t>
            </w:r>
          </w:p>
        </w:tc>
      </w:tr>
      <w:tr>
        <w:trPr>
          <w:cantSplit/>
        </w:trPr>
        <w:tc>
          <w:tcPr>
            <w:tcW w:type="dxa" w:w="2551"/>
            <w:vAlign w:val="center"/>
            <w:tcMar>
              <w:top w:w="70" w:type="dxa"/>
              <w:bottom w:w="70" w:type="dxa"/>
              <w:left w:w="85" w:type="dxa"/>
              <w:right w:w="85" w:type="dxa"/>
            </w:tcMar>
          </w:tcPr>
          <w:p>
            <w:pPr>
              <w:keepNext w:val="0"/>
              <w:keepLines/>
              <w:spacing w:line="240" w:lineRule="auto" w:before="0" w:after="0"/>
              <w:ind w:firstLine="0"/>
              <w:jc w:val="left"/>
            </w:pPr>
            <w:r>
              <w:rPr>
                <w:rFonts w:ascii="Times New Roman" w:hAnsi="Times New Roman"/>
                <w:b w:val="0"/>
                <w:color w:val="000000"/>
                <w:sz w:val="24"/>
              </w:rPr>
              <w:t>OWASP Dependency-Track</w:t>
            </w:r>
          </w:p>
        </w:tc>
        <w:tc>
          <w:tcPr>
            <w:tcW w:type="dxa" w:w="1701"/>
            <w:vAlign w:val="center"/>
            <w:tcMar>
              <w:top w:w="70" w:type="dxa"/>
              <w:bottom w:w="70" w:type="dxa"/>
              <w:left w:w="85" w:type="dxa"/>
              <w:right w:w="85" w:type="dxa"/>
            </w:tcMar>
          </w:tcPr>
          <w:p>
            <w:pPr>
              <w:keepNext w:val="0"/>
              <w:keepLines/>
              <w:spacing w:line="240" w:lineRule="auto" w:before="0" w:after="0"/>
              <w:ind w:firstLine="0"/>
              <w:jc w:val="center"/>
            </w:pPr>
            <w:r>
              <w:rPr>
                <w:rFonts w:ascii="Times New Roman" w:hAnsi="Times New Roman"/>
                <w:b w:val="0"/>
                <w:color w:val="000000"/>
                <w:sz w:val="24"/>
              </w:rPr>
              <w:t>Н/у</w:t>
            </w:r>
          </w:p>
        </w:tc>
        <w:tc>
          <w:tcPr>
            <w:tcW w:type="dxa" w:w="1701"/>
            <w:vAlign w:val="center"/>
            <w:tcMar>
              <w:top w:w="70" w:type="dxa"/>
              <w:bottom w:w="70" w:type="dxa"/>
              <w:left w:w="85" w:type="dxa"/>
              <w:right w:w="85" w:type="dxa"/>
            </w:tcMar>
          </w:tcPr>
          <w:p>
            <w:pPr>
              <w:keepNext w:val="0"/>
              <w:keepLines/>
              <w:spacing w:line="240" w:lineRule="auto" w:before="0" w:after="0"/>
              <w:ind w:firstLine="0"/>
              <w:jc w:val="center"/>
            </w:pPr>
            <w:r>
              <w:rPr>
                <w:rFonts w:ascii="Times New Roman" w:hAnsi="Times New Roman"/>
                <w:b w:val="0"/>
                <w:color w:val="000000"/>
                <w:sz w:val="24"/>
              </w:rPr>
              <w:t>Н/у</w:t>
            </w:r>
          </w:p>
        </w:tc>
        <w:tc>
          <w:tcPr>
            <w:tcW w:type="dxa" w:w="1701"/>
            <w:vAlign w:val="center"/>
            <w:tcMar>
              <w:top w:w="70" w:type="dxa"/>
              <w:bottom w:w="70" w:type="dxa"/>
              <w:left w:w="85" w:type="dxa"/>
              <w:right w:w="85" w:type="dxa"/>
            </w:tcMar>
          </w:tcPr>
          <w:p>
            <w:pPr>
              <w:keepNext w:val="0"/>
              <w:keepLines/>
              <w:spacing w:line="240" w:lineRule="auto" w:before="0" w:after="0"/>
              <w:ind w:firstLine="0"/>
              <w:jc w:val="center"/>
            </w:pPr>
            <w:r>
              <w:rPr>
                <w:rFonts w:ascii="Times New Roman" w:hAnsi="Times New Roman"/>
                <w:b w:val="0"/>
                <w:color w:val="000000"/>
                <w:sz w:val="24"/>
              </w:rPr>
              <w:t>Н/у</w:t>
            </w:r>
          </w:p>
        </w:tc>
        <w:tc>
          <w:tcPr>
            <w:tcW w:type="dxa" w:w="1701"/>
            <w:vAlign w:val="center"/>
            <w:tcMar>
              <w:top w:w="70" w:type="dxa"/>
              <w:bottom w:w="70" w:type="dxa"/>
              <w:left w:w="85" w:type="dxa"/>
              <w:right w:w="85" w:type="dxa"/>
            </w:tcMar>
          </w:tcPr>
          <w:p>
            <w:pPr>
              <w:keepNext w:val="0"/>
              <w:keepLines/>
              <w:spacing w:line="240" w:lineRule="auto" w:before="0" w:after="0"/>
              <w:ind w:firstLine="0"/>
              <w:jc w:val="center"/>
            </w:pPr>
            <w:r>
              <w:rPr>
                <w:rFonts w:ascii="Times New Roman" w:hAnsi="Times New Roman"/>
                <w:b w:val="0"/>
                <w:color w:val="000000"/>
                <w:sz w:val="24"/>
              </w:rPr>
              <w:t>Н/у</w:t>
            </w:r>
          </w:p>
        </w:tc>
      </w:tr>
    </w:tbl>
    <w:p>
      <w:pPr>
        <w:keepNext w:val="0"/>
        <w:keepLines w:val="0"/>
        <w:pageBreakBefore w:val="0"/>
        <w:widowControl/>
        <w:spacing w:line="360" w:lineRule="auto" w:before="0" w:after="0"/>
        <w:ind w:firstLine="709"/>
        <w:jc w:val="both"/>
      </w:pPr>
      <w:r>
        <w:rPr>
          <w:rFonts w:ascii="Times New Roman" w:hAnsi="Times New Roman"/>
          <w:b w:val="0"/>
          <w:color w:val="000000"/>
          <w:sz w:val="28"/>
        </w:rPr>
        <w:t>Защитные практики C05 подтверждены у Scorecard; вклад разработчиков C06 — у TQI и Scorecard; смена публикующих участников C07 — у Socket; участие организаций C08 — у Scorecard [10, 16, 27]. Вклад, право публикации и организационная принадлежность описывают разные отношения, поэтому требуют указания периода и источника.</w:t>
      </w:r>
    </w:p>
    <w:p w:rsidR="00000001">
      <w:pPr>
        <w:keepNext/>
        <w:keepLines w:val="0"/>
        <w:pageBreakBefore w:val="0"/>
        <w:widowControl/>
        <w:spacing w:line="240" w:lineRule="auto" w:before="160" w:after="120"/>
        <w:ind w:firstLine="0"/>
        <w:jc w:val="left"/>
      </w:pPr>
      <w:r>
        <w:rPr>
          <w:rFonts w:ascii="Times New Roman" w:hAnsi="Times New Roman"/>
          <w:b w:val="0"/>
          <w:color w:val="000000"/>
          <w:sz w:val="28"/>
        </w:rPr>
        <w:t>Таблица 1.5 — Проверяемость результатов и действия по исправлению</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551"/>
        <w:gridCol w:w="2268"/>
        <w:gridCol w:w="2268"/>
        <w:gridCol w:w="2268"/>
      </w:tblGrid>
      <w:tr>
        <w:trPr>
          <w:cantSplit/>
          <w:tblHeader/>
        </w:trPr>
        <w:tc>
          <w:tcPr>
            <w:tcW w:type="dxa" w:w="2551"/>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color w:val="000000"/>
                <w:sz w:val="22"/>
              </w:rPr>
              <w:t>Объект</w:t>
            </w:r>
          </w:p>
        </w:tc>
        <w:tc>
          <w:tcPr>
            <w:tcW w:type="dxa" w:w="2268"/>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color w:val="000000"/>
                <w:sz w:val="22"/>
              </w:rPr>
              <w:t>C09</w:t>
              <w:br/>
              <w:t>Объект результата</w:t>
            </w:r>
          </w:p>
        </w:tc>
        <w:tc>
          <w:tcPr>
            <w:tcW w:type="dxa" w:w="2268"/>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color w:val="000000"/>
                <w:sz w:val="22"/>
              </w:rPr>
              <w:t>C10</w:t>
              <w:br/>
              <w:t>Проверяемое основание</w:t>
            </w:r>
          </w:p>
        </w:tc>
        <w:tc>
          <w:tcPr>
            <w:tcW w:type="dxa" w:w="2268"/>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color w:val="000000"/>
                <w:sz w:val="22"/>
              </w:rPr>
              <w:t>C11</w:t>
              <w:br/>
              <w:t>Действия по исправлению</w:t>
            </w:r>
          </w:p>
        </w:tc>
      </w:tr>
      <w:tr>
        <w:trPr>
          <w:cantSplit/>
        </w:trPr>
        <w:tc>
          <w:tcPr>
            <w:tcW w:type="dxa" w:w="2551"/>
            <w:vAlign w:val="center"/>
            <w:tcMar>
              <w:top w:w="70" w:type="dxa"/>
              <w:bottom w:w="70" w:type="dxa"/>
              <w:left w:w="85" w:type="dxa"/>
              <w:right w:w="85" w:type="dxa"/>
            </w:tcMar>
          </w:tcPr>
          <w:p>
            <w:pPr>
              <w:keepNext/>
              <w:keepLines/>
              <w:spacing w:line="240" w:lineRule="auto" w:before="0" w:after="0"/>
              <w:ind w:firstLine="0"/>
              <w:jc w:val="left"/>
            </w:pPr>
            <w:r>
              <w:rPr>
                <w:rFonts w:ascii="Times New Roman" w:hAnsi="Times New Roman"/>
                <w:b w:val="0"/>
                <w:color w:val="000000"/>
                <w:sz w:val="24"/>
              </w:rPr>
              <w:t>CodeScoring SCA + OSA</w:t>
            </w:r>
          </w:p>
        </w:tc>
        <w:tc>
          <w:tcPr>
            <w:tcW w:type="dxa" w:w="2268"/>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Да</w:t>
            </w:r>
          </w:p>
        </w:tc>
        <w:tc>
          <w:tcPr>
            <w:tcW w:type="dxa" w:w="2268"/>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Да</w:t>
            </w:r>
          </w:p>
        </w:tc>
        <w:tc>
          <w:tcPr>
            <w:tcW w:type="dxa" w:w="2268"/>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Да</w:t>
            </w:r>
          </w:p>
        </w:tc>
      </w:tr>
      <w:tr>
        <w:trPr>
          <w:cantSplit/>
        </w:trPr>
        <w:tc>
          <w:tcPr>
            <w:tcW w:type="dxa" w:w="2551"/>
            <w:vAlign w:val="center"/>
            <w:tcMar>
              <w:top w:w="70" w:type="dxa"/>
              <w:bottom w:w="70" w:type="dxa"/>
              <w:left w:w="85" w:type="dxa"/>
              <w:right w:w="85" w:type="dxa"/>
            </w:tcMar>
          </w:tcPr>
          <w:p>
            <w:pPr>
              <w:keepNext/>
              <w:keepLines/>
              <w:spacing w:line="240" w:lineRule="auto" w:before="0" w:after="0"/>
              <w:ind w:firstLine="0"/>
              <w:jc w:val="left"/>
            </w:pPr>
            <w:r>
              <w:rPr>
                <w:rFonts w:ascii="Times New Roman" w:hAnsi="Times New Roman"/>
                <w:b w:val="0"/>
                <w:color w:val="000000"/>
                <w:sz w:val="24"/>
              </w:rPr>
              <w:t>CodeScoring TQI</w:t>
            </w:r>
          </w:p>
        </w:tc>
        <w:tc>
          <w:tcPr>
            <w:tcW w:type="dxa" w:w="2268"/>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Да</w:t>
            </w:r>
          </w:p>
        </w:tc>
        <w:tc>
          <w:tcPr>
            <w:tcW w:type="dxa" w:w="2268"/>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Да</w:t>
            </w:r>
          </w:p>
        </w:tc>
        <w:tc>
          <w:tcPr>
            <w:tcW w:type="dxa" w:w="2268"/>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Н/у</w:t>
            </w:r>
          </w:p>
        </w:tc>
      </w:tr>
      <w:tr>
        <w:trPr>
          <w:cantSplit/>
        </w:trPr>
        <w:tc>
          <w:tcPr>
            <w:tcW w:type="dxa" w:w="2551"/>
            <w:vAlign w:val="center"/>
            <w:tcMar>
              <w:top w:w="70" w:type="dxa"/>
              <w:bottom w:w="70" w:type="dxa"/>
              <w:left w:w="85" w:type="dxa"/>
              <w:right w:w="85" w:type="dxa"/>
            </w:tcMar>
          </w:tcPr>
          <w:p>
            <w:pPr>
              <w:keepNext/>
              <w:keepLines/>
              <w:spacing w:line="240" w:lineRule="auto" w:before="0" w:after="0"/>
              <w:ind w:firstLine="0"/>
              <w:jc w:val="left"/>
            </w:pPr>
            <w:r>
              <w:rPr>
                <w:rFonts w:ascii="Times New Roman" w:hAnsi="Times New Roman"/>
                <w:b w:val="0"/>
                <w:color w:val="000000"/>
                <w:sz w:val="24"/>
              </w:rPr>
              <w:t>Snyk Open Source</w:t>
            </w:r>
          </w:p>
        </w:tc>
        <w:tc>
          <w:tcPr>
            <w:tcW w:type="dxa" w:w="2268"/>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Да</w:t>
            </w:r>
          </w:p>
        </w:tc>
        <w:tc>
          <w:tcPr>
            <w:tcW w:type="dxa" w:w="2268"/>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Да</w:t>
            </w:r>
          </w:p>
        </w:tc>
        <w:tc>
          <w:tcPr>
            <w:tcW w:type="dxa" w:w="2268"/>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Да</w:t>
            </w:r>
          </w:p>
        </w:tc>
      </w:tr>
      <w:tr>
        <w:trPr>
          <w:cantSplit/>
        </w:trPr>
        <w:tc>
          <w:tcPr>
            <w:tcW w:type="dxa" w:w="2551"/>
            <w:vAlign w:val="center"/>
            <w:tcMar>
              <w:top w:w="70" w:type="dxa"/>
              <w:bottom w:w="70" w:type="dxa"/>
              <w:left w:w="85" w:type="dxa"/>
              <w:right w:w="85" w:type="dxa"/>
            </w:tcMar>
          </w:tcPr>
          <w:p>
            <w:pPr>
              <w:keepNext/>
              <w:keepLines/>
              <w:spacing w:line="240" w:lineRule="auto" w:before="0" w:after="0"/>
              <w:ind w:firstLine="0"/>
              <w:jc w:val="left"/>
            </w:pPr>
            <w:r>
              <w:rPr>
                <w:rFonts w:ascii="Times New Roman" w:hAnsi="Times New Roman"/>
                <w:b w:val="0"/>
                <w:color w:val="000000"/>
                <w:sz w:val="24"/>
              </w:rPr>
              <w:t>Sonatype Lifecycle</w:t>
            </w:r>
          </w:p>
        </w:tc>
        <w:tc>
          <w:tcPr>
            <w:tcW w:type="dxa" w:w="2268"/>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Да</w:t>
            </w:r>
          </w:p>
        </w:tc>
        <w:tc>
          <w:tcPr>
            <w:tcW w:type="dxa" w:w="2268"/>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Да</w:t>
            </w:r>
          </w:p>
        </w:tc>
        <w:tc>
          <w:tcPr>
            <w:tcW w:type="dxa" w:w="2268"/>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Да</w:t>
            </w:r>
          </w:p>
        </w:tc>
      </w:tr>
      <w:tr>
        <w:trPr>
          <w:cantSplit/>
        </w:trPr>
        <w:tc>
          <w:tcPr>
            <w:tcW w:type="dxa" w:w="2551"/>
            <w:vAlign w:val="center"/>
            <w:tcMar>
              <w:top w:w="70" w:type="dxa"/>
              <w:bottom w:w="70" w:type="dxa"/>
              <w:left w:w="85" w:type="dxa"/>
              <w:right w:w="85" w:type="dxa"/>
            </w:tcMar>
          </w:tcPr>
          <w:p>
            <w:pPr>
              <w:keepNext/>
              <w:keepLines/>
              <w:spacing w:line="240" w:lineRule="auto" w:before="0" w:after="0"/>
              <w:ind w:firstLine="0"/>
              <w:jc w:val="left"/>
            </w:pPr>
            <w:r>
              <w:rPr>
                <w:rFonts w:ascii="Times New Roman" w:hAnsi="Times New Roman"/>
                <w:b w:val="0"/>
                <w:color w:val="000000"/>
                <w:sz w:val="24"/>
              </w:rPr>
              <w:t>Socket</w:t>
            </w:r>
          </w:p>
        </w:tc>
        <w:tc>
          <w:tcPr>
            <w:tcW w:type="dxa" w:w="2268"/>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Да</w:t>
            </w:r>
          </w:p>
        </w:tc>
        <w:tc>
          <w:tcPr>
            <w:tcW w:type="dxa" w:w="2268"/>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Да</w:t>
            </w:r>
          </w:p>
        </w:tc>
        <w:tc>
          <w:tcPr>
            <w:tcW w:type="dxa" w:w="2268"/>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Да</w:t>
            </w:r>
          </w:p>
        </w:tc>
      </w:tr>
      <w:tr>
        <w:trPr>
          <w:cantSplit/>
        </w:trPr>
        <w:tc>
          <w:tcPr>
            <w:tcW w:type="dxa" w:w="2551"/>
            <w:vAlign w:val="center"/>
            <w:tcMar>
              <w:top w:w="70" w:type="dxa"/>
              <w:bottom w:w="70" w:type="dxa"/>
              <w:left w:w="85" w:type="dxa"/>
              <w:right w:w="85" w:type="dxa"/>
            </w:tcMar>
          </w:tcPr>
          <w:p>
            <w:pPr>
              <w:keepNext/>
              <w:keepLines/>
              <w:spacing w:line="240" w:lineRule="auto" w:before="0" w:after="0"/>
              <w:ind w:firstLine="0"/>
              <w:jc w:val="left"/>
            </w:pPr>
            <w:r>
              <w:rPr>
                <w:rFonts w:ascii="Times New Roman" w:hAnsi="Times New Roman"/>
                <w:b w:val="0"/>
                <w:color w:val="000000"/>
                <w:sz w:val="24"/>
              </w:rPr>
              <w:t>GitHub Dependabot</w:t>
            </w:r>
          </w:p>
        </w:tc>
        <w:tc>
          <w:tcPr>
            <w:tcW w:type="dxa" w:w="2268"/>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Да</w:t>
            </w:r>
          </w:p>
        </w:tc>
        <w:tc>
          <w:tcPr>
            <w:tcW w:type="dxa" w:w="2268"/>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Да</w:t>
            </w:r>
          </w:p>
        </w:tc>
        <w:tc>
          <w:tcPr>
            <w:tcW w:type="dxa" w:w="2268"/>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Да</w:t>
            </w:r>
          </w:p>
        </w:tc>
      </w:tr>
      <w:tr>
        <w:trPr>
          <w:cantSplit/>
        </w:trPr>
        <w:tc>
          <w:tcPr>
            <w:tcW w:type="dxa" w:w="2551"/>
            <w:vAlign w:val="center"/>
            <w:tcMar>
              <w:top w:w="70" w:type="dxa"/>
              <w:bottom w:w="70" w:type="dxa"/>
              <w:left w:w="85" w:type="dxa"/>
              <w:right w:w="85" w:type="dxa"/>
            </w:tcMar>
          </w:tcPr>
          <w:p>
            <w:pPr>
              <w:keepNext/>
              <w:keepLines/>
              <w:spacing w:line="240" w:lineRule="auto" w:before="0" w:after="0"/>
              <w:ind w:firstLine="0"/>
              <w:jc w:val="left"/>
            </w:pPr>
            <w:r>
              <w:rPr>
                <w:rFonts w:ascii="Times New Roman" w:hAnsi="Times New Roman"/>
                <w:b w:val="0"/>
                <w:color w:val="000000"/>
                <w:sz w:val="24"/>
              </w:rPr>
              <w:t>GitHub CodeQL</w:t>
            </w:r>
          </w:p>
        </w:tc>
        <w:tc>
          <w:tcPr>
            <w:tcW w:type="dxa" w:w="2268"/>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Да</w:t>
            </w:r>
          </w:p>
        </w:tc>
        <w:tc>
          <w:tcPr>
            <w:tcW w:type="dxa" w:w="2268"/>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Да</w:t>
            </w:r>
          </w:p>
        </w:tc>
        <w:tc>
          <w:tcPr>
            <w:tcW w:type="dxa" w:w="2268"/>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Да</w:t>
            </w:r>
          </w:p>
        </w:tc>
      </w:tr>
      <w:tr>
        <w:trPr>
          <w:cantSplit/>
        </w:trPr>
        <w:tc>
          <w:tcPr>
            <w:tcW w:type="dxa" w:w="2551"/>
            <w:vAlign w:val="center"/>
            <w:tcMar>
              <w:top w:w="70" w:type="dxa"/>
              <w:bottom w:w="70" w:type="dxa"/>
              <w:left w:w="85" w:type="dxa"/>
              <w:right w:w="85" w:type="dxa"/>
            </w:tcMar>
          </w:tcPr>
          <w:p>
            <w:pPr>
              <w:keepNext/>
              <w:keepLines/>
              <w:spacing w:line="240" w:lineRule="auto" w:before="0" w:after="0"/>
              <w:ind w:firstLine="0"/>
              <w:jc w:val="left"/>
            </w:pPr>
            <w:r>
              <w:rPr>
                <w:rFonts w:ascii="Times New Roman" w:hAnsi="Times New Roman"/>
                <w:b w:val="0"/>
                <w:color w:val="000000"/>
                <w:sz w:val="24"/>
              </w:rPr>
              <w:t>OpenSSF Scorecard</w:t>
            </w:r>
          </w:p>
        </w:tc>
        <w:tc>
          <w:tcPr>
            <w:tcW w:type="dxa" w:w="2268"/>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Да</w:t>
            </w:r>
          </w:p>
        </w:tc>
        <w:tc>
          <w:tcPr>
            <w:tcW w:type="dxa" w:w="2268"/>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Да</w:t>
            </w:r>
          </w:p>
        </w:tc>
        <w:tc>
          <w:tcPr>
            <w:tcW w:type="dxa" w:w="2268"/>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val="0"/>
                <w:color w:val="000000"/>
                <w:sz w:val="24"/>
              </w:rPr>
              <w:t>Да</w:t>
            </w:r>
          </w:p>
        </w:tc>
      </w:tr>
      <w:tr>
        <w:trPr>
          <w:cantSplit/>
        </w:trPr>
        <w:tc>
          <w:tcPr>
            <w:tcW w:type="dxa" w:w="2551"/>
            <w:vAlign w:val="center"/>
            <w:tcMar>
              <w:top w:w="70" w:type="dxa"/>
              <w:bottom w:w="70" w:type="dxa"/>
              <w:left w:w="85" w:type="dxa"/>
              <w:right w:w="85" w:type="dxa"/>
            </w:tcMar>
          </w:tcPr>
          <w:p>
            <w:pPr>
              <w:keepNext w:val="0"/>
              <w:keepLines/>
              <w:spacing w:line="240" w:lineRule="auto" w:before="0" w:after="0"/>
              <w:ind w:firstLine="0"/>
              <w:jc w:val="left"/>
            </w:pPr>
            <w:r>
              <w:rPr>
                <w:rFonts w:ascii="Times New Roman" w:hAnsi="Times New Roman"/>
                <w:b w:val="0"/>
                <w:color w:val="000000"/>
                <w:sz w:val="24"/>
              </w:rPr>
              <w:t>OWASP Dependency-Track</w:t>
            </w:r>
          </w:p>
        </w:tc>
        <w:tc>
          <w:tcPr>
            <w:tcW w:type="dxa" w:w="2268"/>
            <w:vAlign w:val="center"/>
            <w:tcMar>
              <w:top w:w="70" w:type="dxa"/>
              <w:bottom w:w="70" w:type="dxa"/>
              <w:left w:w="85" w:type="dxa"/>
              <w:right w:w="85" w:type="dxa"/>
            </w:tcMar>
          </w:tcPr>
          <w:p>
            <w:pPr>
              <w:keepNext w:val="0"/>
              <w:keepLines/>
              <w:spacing w:line="240" w:lineRule="auto" w:before="0" w:after="0"/>
              <w:ind w:firstLine="0"/>
              <w:jc w:val="center"/>
            </w:pPr>
            <w:r>
              <w:rPr>
                <w:rFonts w:ascii="Times New Roman" w:hAnsi="Times New Roman"/>
                <w:b w:val="0"/>
                <w:color w:val="000000"/>
                <w:sz w:val="24"/>
              </w:rPr>
              <w:t>Да</w:t>
            </w:r>
          </w:p>
        </w:tc>
        <w:tc>
          <w:tcPr>
            <w:tcW w:type="dxa" w:w="2268"/>
            <w:vAlign w:val="center"/>
            <w:tcMar>
              <w:top w:w="70" w:type="dxa"/>
              <w:bottom w:w="70" w:type="dxa"/>
              <w:left w:w="85" w:type="dxa"/>
              <w:right w:w="85" w:type="dxa"/>
            </w:tcMar>
          </w:tcPr>
          <w:p>
            <w:pPr>
              <w:keepNext w:val="0"/>
              <w:keepLines/>
              <w:spacing w:line="240" w:lineRule="auto" w:before="0" w:after="0"/>
              <w:ind w:firstLine="0"/>
              <w:jc w:val="center"/>
            </w:pPr>
            <w:r>
              <w:rPr>
                <w:rFonts w:ascii="Times New Roman" w:hAnsi="Times New Roman"/>
                <w:b w:val="0"/>
                <w:color w:val="000000"/>
                <w:sz w:val="24"/>
              </w:rPr>
              <w:t>Да</w:t>
            </w:r>
          </w:p>
        </w:tc>
        <w:tc>
          <w:tcPr>
            <w:tcW w:type="dxa" w:w="2268"/>
            <w:vAlign w:val="center"/>
            <w:tcMar>
              <w:top w:w="70" w:type="dxa"/>
              <w:bottom w:w="70" w:type="dxa"/>
              <w:left w:w="85" w:type="dxa"/>
              <w:right w:w="85" w:type="dxa"/>
            </w:tcMar>
          </w:tcPr>
          <w:p>
            <w:pPr>
              <w:keepNext w:val="0"/>
              <w:keepLines/>
              <w:spacing w:line="240" w:lineRule="auto" w:before="0" w:after="0"/>
              <w:ind w:firstLine="0"/>
              <w:jc w:val="center"/>
            </w:pPr>
            <w:r>
              <w:rPr>
                <w:rFonts w:ascii="Times New Roman" w:hAnsi="Times New Roman"/>
                <w:b w:val="0"/>
                <w:color w:val="000000"/>
                <w:sz w:val="24"/>
              </w:rPr>
              <w:t>Да</w:t>
            </w:r>
          </w:p>
        </w:tc>
      </w:tr>
    </w:tbl>
    <w:p>
      <w:pPr>
        <w:keepNext w:val="0"/>
        <w:keepLines w:val="0"/>
        <w:pageBreakBefore w:val="0"/>
        <w:widowControl/>
        <w:spacing w:line="360" w:lineRule="auto" w:before="0" w:after="0"/>
        <w:ind w:firstLine="709"/>
        <w:jc w:val="both"/>
      </w:pPr>
      <w:r>
        <w:rPr>
          <w:rFonts w:ascii="Times New Roman" w:hAnsi="Times New Roman"/>
          <w:b w:val="0"/>
          <w:color w:val="000000"/>
          <w:sz w:val="28"/>
        </w:rPr>
        <w:t>Все 9 объектов связывают результат с объектом анализа и предоставляют основание. Действия по исправлению подтверждены у 8 объектов; для TQI конкретная мера по отдельной находке не установлена. Для будущей системы это обосновывает задачу согласования разнородных оснований при выборе проекта потребителем.</w:t>
      </w:r>
    </w:p>
    <w:p>
      <w:pPr>
        <w:keepNext w:val="0"/>
        <w:keepLines w:val="0"/>
        <w:pageBreakBefore w:val="0"/>
        <w:widowControl/>
        <w:spacing w:line="360" w:lineRule="auto" w:before="0" w:after="0"/>
        <w:ind w:firstLine="709"/>
        <w:jc w:val="both"/>
      </w:pPr>
      <w:r>
        <w:rPr>
          <w:rFonts w:ascii="Times New Roman" w:hAnsi="Times New Roman"/>
          <w:b w:val="0"/>
          <w:color w:val="000000"/>
          <w:sz w:val="28"/>
        </w:rPr>
        <w:t>При выборе средства необходимо учитывать требования к исходным данным. Получение готового SBOM отличается от самостоятельного определения зависимостей, проверка основной ветви — от анализа выбранного выпуска, просмотр публичного результата — от запуска проверки с расширенными правами. Поэтому одинаковый статус «Да» не означает одинаковых условий применения и охвата анализа. Эти различия отражены в аналитическом отчёте и ограничивают совместное использование результатов.</w:t>
      </w:r>
    </w:p>
    <w:p>
      <w:pPr>
        <w:keepNext w:val="0"/>
        <w:keepLines w:val="0"/>
        <w:pageBreakBefore w:val="0"/>
        <w:widowControl/>
        <w:spacing w:line="360" w:lineRule="auto" w:before="0" w:after="0"/>
        <w:ind w:firstLine="709"/>
        <w:jc w:val="both"/>
      </w:pPr>
      <w:r>
        <w:rPr>
          <w:rFonts w:ascii="Times New Roman" w:hAnsi="Times New Roman"/>
          <w:b w:val="0"/>
          <w:color w:val="000000"/>
          <w:sz w:val="28"/>
        </w:rPr>
        <w:t>Оценки сформированы автором по изученным разделам документации; согласованность статусов, оснований и ссылок проверена при подготовке отчёта. Статус «Не установлено» отмечает недостаток подтверждений в этом корпусе. Реестр сохраняет связь каждой ячейки с источником, что позволяет уточнять оценку при получении новых сведений о выбранном модуле.</w:t>
      </w:r>
    </w:p>
    <w:p>
      <w:pPr>
        <w:keepNext w:val="0"/>
        <w:keepLines w:val="0"/>
        <w:pageBreakBefore w:val="0"/>
        <w:widowControl/>
        <w:spacing w:line="360" w:lineRule="auto" w:before="0" w:after="0"/>
        <w:ind w:firstLine="709"/>
        <w:jc w:val="both"/>
      </w:pPr>
      <w:r>
        <w:rPr>
          <w:rFonts w:ascii="Times New Roman" w:hAnsi="Times New Roman"/>
          <w:b w:val="0"/>
          <w:color w:val="000000"/>
          <w:sz w:val="28"/>
        </w:rPr>
        <w:t>Функциональный обзор дополнен публикациями о зависимостях и сопровождающих, известных вредоносных пакетах и интерпретации процессных показателей. Их результаты используются для выбора признаков и ограничений будущей рекомендации.</w:t>
      </w:r>
    </w:p>
    <w:p>
      <w:pPr>
        <w:keepNext w:val="0"/>
        <w:keepLines w:val="0"/>
        <w:pageBreakBefore w:val="0"/>
        <w:widowControl/>
        <w:spacing w:line="360" w:lineRule="auto" w:before="0" w:after="0"/>
        <w:ind w:firstLine="709"/>
        <w:jc w:val="both"/>
      </w:pPr>
      <w:r>
        <w:rPr>
          <w:rFonts w:ascii="Times New Roman" w:hAnsi="Times New Roman"/>
          <w:b w:val="0"/>
          <w:color w:val="000000"/>
          <w:sz w:val="28"/>
        </w:rPr>
        <w:t>Zimmermann и соавторы исследуют граф зависимостей, пакетов и сопровождающих npm [3]. Концентрация полномочий и транзитивные зависимости показывают потенциальное распространение влияния. Для настоящей работы это обосновывает совместное рассмотрение состава и событий публикации. Потенциальный охват компрометации не равен вероятности атаки; исторический срез npm не представляет все экосистемы.</w:t>
      </w:r>
    </w:p>
    <w:p>
      <w:pPr>
        <w:keepNext w:val="0"/>
        <w:keepLines w:val="0"/>
        <w:pageBreakBefore w:val="0"/>
        <w:widowControl/>
        <w:spacing w:line="360" w:lineRule="auto" w:before="0" w:after="0"/>
        <w:ind w:firstLine="709"/>
        <w:jc w:val="both"/>
      </w:pPr>
      <w:r>
        <w:rPr>
          <w:rFonts w:ascii="Times New Roman" w:hAnsi="Times New Roman"/>
          <w:b w:val="0"/>
          <w:color w:val="000000"/>
          <w:sz w:val="28"/>
        </w:rPr>
        <w:t>Ohm и соавторы анализируют известные вредоносные пакеты и строят деревья путей внедрения и исполнения опасного кода [4]. Для рекомендации необходимо различать уязвимость, намеренно вредоносный компонент и условия его запуска, сохраняя тип свидетельства и затронутый выпуск. Описания известных случаев помогают выделять этап внедрения изменения и условия, при которых его содержимое становится опасным для потребителя.</w:t>
      </w:r>
    </w:p>
    <w:p>
      <w:pPr>
        <w:keepNext w:val="0"/>
        <w:keepLines w:val="0"/>
        <w:pageBreakBefore w:val="0"/>
        <w:widowControl/>
        <w:spacing w:line="360" w:lineRule="auto" w:before="0" w:after="0"/>
        <w:ind w:firstLine="709"/>
        <w:jc w:val="both"/>
      </w:pPr>
      <w:r>
        <w:rPr>
          <w:rFonts w:ascii="Times New Roman" w:hAnsi="Times New Roman"/>
          <w:b w:val="0"/>
          <w:color w:val="000000"/>
          <w:sz w:val="28"/>
        </w:rPr>
        <w:t>Zahan и соавторы проверяют применение Scorecard в npm и PyPI и вручную разбирают интерпретацию метрик [43]. Нестандартный способ обновления зависимостей может не распознаваться автоматической проверкой. Это обосновывает требование сохранять объяснение результата и различать подтверждённый недостаток, неподдерживаемый механизм и отсутствие данных.</w:t>
      </w:r>
    </w:p>
    <w:p>
      <w:pPr>
        <w:keepNext w:val="0"/>
        <w:keepLines w:val="0"/>
        <w:pageBreakBefore w:val="0"/>
        <w:widowControl/>
        <w:spacing w:line="360" w:lineRule="auto" w:before="0" w:after="0"/>
        <w:ind w:firstLine="709"/>
        <w:jc w:val="both"/>
      </w:pPr>
      <w:r>
        <w:rPr>
          <w:rFonts w:ascii="Times New Roman" w:hAnsi="Times New Roman"/>
          <w:b w:val="0"/>
          <w:color w:val="000000"/>
          <w:sz w:val="28"/>
        </w:rPr>
        <w:t>В другой работе Zahan и соавторов исследуется связь показателей практик с числом опубликованных уязвимостей [44]. В регрессионных моделях R² составлял 0,09–0,12: показатели ограниченно объясняли наблюдаемые различия. Число известных уязвимостей зависит также от их обнаружения и раскрытия. Поэтому при формировании рекомендации показатели практик следует рассматривать совместно с конкретными техническими находками и полнотой данных.</w:t>
      </w:r>
    </w:p>
    <w:p>
      <w:pPr>
        <w:keepNext w:val="0"/>
        <w:keepLines w:val="0"/>
        <w:pageBreakBefore w:val="0"/>
        <w:widowControl/>
        <w:spacing w:line="360" w:lineRule="auto" w:before="0" w:after="0"/>
        <w:ind w:firstLine="709"/>
        <w:jc w:val="both"/>
      </w:pPr>
      <w:r>
        <w:rPr>
          <w:rFonts w:ascii="Times New Roman" w:hAnsi="Times New Roman"/>
          <w:b w:val="0"/>
          <w:color w:val="000000"/>
          <w:sz w:val="28"/>
        </w:rPr>
        <w:t>Рассмотренные публикации дают основания для выбора признаков будущего анализа: зависимостей и событий публикации, распределения участия и наблюдаемых защитных практик. Их совместное использование требует сохранять смысл каждого свидетельства и объяснять, как оно влияет на предлагаемое действие.</w:t>
      </w:r>
    </w:p>
    <w:p>
      <w:pPr>
        <w:keepNext w:val="0"/>
        <w:keepLines w:val="0"/>
        <w:pageBreakBefore w:val="0"/>
        <w:widowControl/>
        <w:spacing w:line="360" w:lineRule="auto" w:before="0" w:after="0"/>
        <w:ind w:firstLine="709"/>
        <w:jc w:val="both"/>
      </w:pPr>
      <w:r>
        <w:rPr>
          <w:rFonts w:ascii="Times New Roman" w:hAnsi="Times New Roman"/>
          <w:b w:val="0"/>
          <w:color w:val="000000"/>
          <w:sz w:val="28"/>
        </w:rPr>
        <w:t>Наряду с функциональными возможностями при выборе средства существенны затраты на подготовку данных, подключение проектов, обслуживание среды и разбор результатов. Локальное развёртывание требует ресурсов и обновлений, сервис — подходящих условий доступа и передачи данных. При использовании открытого инструмента также необходимы настройка источников, выбор режима проверки и поддержание рабочей среды.</w:t>
      </w:r>
    </w:p>
    <w:p>
      <w:pPr>
        <w:keepNext w:val="0"/>
        <w:keepLines w:val="0"/>
        <w:pageBreakBefore w:val="0"/>
        <w:widowControl/>
        <w:spacing w:line="360" w:lineRule="auto" w:before="0" w:after="0"/>
        <w:ind w:firstLine="709"/>
        <w:jc w:val="both"/>
      </w:pPr>
      <w:r>
        <w:rPr>
          <w:rFonts w:ascii="Times New Roman" w:hAnsi="Times New Roman"/>
          <w:b w:val="0"/>
          <w:color w:val="000000"/>
          <w:sz w:val="28"/>
        </w:rPr>
        <w:t>Условия применения средства зависят от масштаба команды и организации работ. Для небольшой команды существенны доступность исходных данных и возможность регулярно выполнять проверки с имеющимися ресурсами. Для крупной организации важны также централизованные политики, распределение ответственности и обработка результатов по нескольким проектам.</w:t>
      </w:r>
    </w:p>
    <w:p>
      <w:pPr>
        <w:keepNext w:val="0"/>
        <w:keepLines w:val="0"/>
        <w:pageBreakBefore w:val="0"/>
        <w:widowControl/>
        <w:spacing w:line="360" w:lineRule="auto" w:before="0" w:after="0"/>
        <w:ind w:firstLine="709"/>
        <w:jc w:val="both"/>
      </w:pPr>
      <w:r>
        <w:rPr>
          <w:rFonts w:ascii="Times New Roman" w:hAnsi="Times New Roman"/>
          <w:b w:val="0"/>
          <w:color w:val="000000"/>
          <w:sz w:val="28"/>
        </w:rPr>
        <w:t>Состав компонентов, история изменений и проверки практик относятся к разным объектам. Чтобы использовать их совместно, необходимо установить версию, источник, основание вывода и предлагаемое действие. Входы и результаты средств подробно сопоставлены в аналитическом отчёте.</w:t>
      </w:r>
    </w:p>
    <w:p>
      <w:pPr>
        <w:keepNext w:val="0"/>
        <w:keepLines w:val="0"/>
        <w:pageBreakBefore w:val="0"/>
        <w:widowControl/>
        <w:spacing w:line="360" w:lineRule="auto" w:before="0" w:after="0"/>
        <w:ind w:firstLine="709"/>
        <w:jc w:val="both"/>
      </w:pPr>
      <w:r>
        <w:rPr>
          <w:rFonts w:ascii="Times New Roman" w:hAnsi="Times New Roman"/>
          <w:b w:val="0"/>
          <w:color w:val="000000"/>
          <w:sz w:val="28"/>
        </w:rPr>
        <w:t>Анализ рынка выводит на задачу объяснимой рекомендации об использовании открытого проекта. Пользователю требуется понять, какие обстоятельства мешают внедрению, какие допускают дополнительные меры и какие требуют уточнения. Для этого результаты проверок необходимо интерпретировать совместно.</w:t>
      </w:r>
    </w:p>
    <w:p>
      <w:pPr>
        <w:pStyle w:val="Heading2"/>
        <w:keepNext/>
        <w:keepLines/>
        <w:pageBreakBefore w:val="0"/>
        <w:widowControl/>
        <w:spacing w:line="360" w:lineRule="auto" w:before="280" w:after="280"/>
        <w:ind w:firstLine="709"/>
        <w:jc w:val="left"/>
      </w:pPr>
      <w:bookmarkStart w:id="5" w:name="_toc_s13"/>
      <w:r>
        <w:rPr>
          <w:rFonts w:ascii="Times New Roman" w:hAnsi="Times New Roman"/>
          <w:b/>
          <w:color w:val="000000"/>
          <w:sz w:val="28"/>
        </w:rPr>
        <w:t>1.3 Обоснование рекомендательного подхода к выбору открытых проектов</w:t>
      </w:r>
      <w:bookmarkEnd w:id="5"/>
    </w:p>
    <w:p>
      <w:pPr>
        <w:keepNext w:val="0"/>
        <w:keepLines w:val="0"/>
        <w:pageBreakBefore w:val="0"/>
        <w:widowControl/>
        <w:spacing w:line="360" w:lineRule="auto" w:before="0" w:after="0"/>
        <w:ind w:firstLine="709"/>
        <w:jc w:val="both"/>
      </w:pPr>
      <w:r>
        <w:rPr>
          <w:rFonts w:ascii="Times New Roman" w:hAnsi="Times New Roman"/>
          <w:b w:val="0"/>
          <w:color w:val="000000"/>
          <w:sz w:val="28"/>
        </w:rPr>
        <w:t>Сравнение показывает, что все девять объектов связывают результат с объектом анализа и предоставляют основание, а восемь поддерживают действия по исправлению. При этом находка зависимости, оценка практики и история участия имеют разный смысл. Для потребителя требуется обобщить эти сведения применительно к выбранному проекту. Поэтому предлагаемый подход состоит в формировании рекомендации, которая связывает наблюдаемые факты с возможным действием и указывает условия его применения.</w:t>
      </w:r>
    </w:p>
    <w:p>
      <w:pPr>
        <w:keepNext w:val="0"/>
        <w:keepLines w:val="0"/>
        <w:pageBreakBefore w:val="0"/>
        <w:widowControl/>
        <w:spacing w:line="360" w:lineRule="auto" w:before="0" w:after="0"/>
        <w:ind w:firstLine="709"/>
        <w:jc w:val="both"/>
      </w:pPr>
      <w:r>
        <w:rPr>
          <w:rFonts w:ascii="Times New Roman" w:hAnsi="Times New Roman"/>
          <w:b w:val="0"/>
          <w:color w:val="000000"/>
          <w:sz w:val="28"/>
        </w:rPr>
        <w:t>При переходе к рекомендации необходимо различать значение признаков. Низкая активность может быть нормальной для завершённого проекта, а сведения о ревью характеризуют порядок принятия изменений. Подтверждённая опасность версии имеет самостоятельное значение и требует указать затронутый выпуск и необходимые меры. Процессные показатели помогают определить, какие стороны разработки и сопровождения следует проверить дополнительно.</w:t>
      </w:r>
    </w:p>
    <w:p>
      <w:pPr>
        <w:keepNext w:val="0"/>
        <w:keepLines w:val="0"/>
        <w:pageBreakBefore w:val="0"/>
        <w:widowControl/>
        <w:spacing w:line="360" w:lineRule="auto" w:before="0" w:after="0"/>
        <w:ind w:firstLine="709"/>
        <w:jc w:val="both"/>
      </w:pPr>
      <w:r>
        <w:rPr>
          <w:rFonts w:ascii="Times New Roman" w:hAnsi="Times New Roman"/>
          <w:b w:val="0"/>
          <w:color w:val="000000"/>
          <w:sz w:val="28"/>
        </w:rPr>
        <w:t>Недостаток данных также требует отдельного отражения. Подтверждённый недостаток, отсутствие выявленной проблемы и невозможность проверки имеют разный смысл. Недоступные сведения могут обосновывать уточнение или перенос решения, но не вывод о безопасности либо небезопасности проекта.</w:t>
      </w:r>
    </w:p>
    <w:p>
      <w:pPr>
        <w:keepNext w:val="0"/>
        <w:keepLines w:val="0"/>
        <w:pageBreakBefore w:val="0"/>
        <w:widowControl/>
        <w:spacing w:line="360" w:lineRule="auto" w:before="0" w:after="0"/>
        <w:ind w:firstLine="709"/>
        <w:jc w:val="both"/>
      </w:pPr>
      <w:r>
        <w:rPr>
          <w:rFonts w:ascii="Times New Roman" w:hAnsi="Times New Roman"/>
          <w:b w:val="0"/>
          <w:color w:val="000000"/>
          <w:sz w:val="28"/>
        </w:rPr>
        <w:t>Правила должны связывать наблюдение с действием: предупреждение анализатора — с проверкой применимости находки, недостаток сведений о ревью — с уточнением порядка изменений, подтверждённое вредоносное поведение — с отказом от затронутой версии. Такой переход должен быть явным и проверяемым.</w:t>
      </w:r>
    </w:p>
    <w:p>
      <w:pPr>
        <w:keepNext w:val="0"/>
        <w:keepLines w:val="0"/>
        <w:pageBreakBefore w:val="0"/>
        <w:widowControl/>
        <w:spacing w:line="360" w:lineRule="auto" w:before="0" w:after="0"/>
        <w:ind w:firstLine="709"/>
        <w:jc w:val="both"/>
      </w:pPr>
      <w:r>
        <w:rPr>
          <w:rFonts w:ascii="Times New Roman" w:hAnsi="Times New Roman"/>
          <w:b w:val="0"/>
          <w:color w:val="000000"/>
          <w:sz w:val="28"/>
        </w:rPr>
        <w:t>Например, сообщение о длительном отсутствии изменений должно содержать период наблюдения и пояснение возможных трудностей сопровождения. Само по себе оно не обосновывает отказ от проекта, если неизвестны его назначение и потребность в обновлениях. Предупреждение об известной проблеме версии, напротив, требует указать затронутый компонент и необходимую проверку либо исправление. Такое представление позволяет проверить рекомендацию по исходным фактам.</w:t>
      </w:r>
    </w:p>
    <w:p>
      <w:pPr>
        <w:keepNext w:val="0"/>
        <w:keepLines w:val="0"/>
        <w:pageBreakBefore w:val="0"/>
        <w:widowControl/>
        <w:spacing w:line="360" w:lineRule="auto" w:before="0" w:after="0"/>
        <w:ind w:firstLine="709"/>
        <w:jc w:val="both"/>
      </w:pPr>
      <w:r>
        <w:rPr>
          <w:rFonts w:ascii="Times New Roman" w:hAnsi="Times New Roman"/>
          <w:b w:val="0"/>
          <w:color w:val="000000"/>
          <w:sz w:val="28"/>
        </w:rPr>
        <w:t>В таблице 1.6 сопоставлены возможности аналогов и работа, остающаяся пользователю. На этой основе определены направления применения доступных сведений в будущем решении: установить их значение для выбранного компонента, объяснить вывод и предложить необходимую проверку или действие.</w:t>
      </w:r>
    </w:p>
    <w:p w:rsidR="00000001">
      <w:pPr>
        <w:keepNext/>
        <w:keepLines w:val="0"/>
        <w:pageBreakBefore w:val="0"/>
        <w:widowControl/>
        <w:spacing w:line="240" w:lineRule="auto" w:before="160" w:after="120"/>
        <w:ind w:firstLine="0"/>
        <w:jc w:val="left"/>
      </w:pPr>
      <w:r>
        <w:rPr>
          <w:rFonts w:ascii="Times New Roman" w:hAnsi="Times New Roman"/>
          <w:b w:val="0"/>
          <w:color w:val="000000"/>
          <w:sz w:val="28"/>
        </w:rPr>
        <w:t>Таблица 1.6 — Возможности аналогов и задачи будущей системы</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891"/>
        <w:gridCol w:w="3005"/>
        <w:gridCol w:w="3458"/>
      </w:tblGrid>
      <w:tr>
        <w:trPr>
          <w:cantSplit/>
          <w:tblHeader/>
        </w:trPr>
        <w:tc>
          <w:tcPr>
            <w:tcW w:type="dxa" w:w="2891"/>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color w:val="000000"/>
                <w:sz w:val="24"/>
              </w:rPr>
              <w:t>Возможности рассмотренных средств</w:t>
            </w:r>
          </w:p>
        </w:tc>
        <w:tc>
          <w:tcPr>
            <w:tcW w:type="dxa" w:w="3005"/>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color w:val="000000"/>
                <w:sz w:val="24"/>
              </w:rPr>
              <w:t>Что требуется решить пользователю</w:t>
            </w:r>
          </w:p>
        </w:tc>
        <w:tc>
          <w:tcPr>
            <w:tcW w:type="dxa" w:w="3458"/>
            <w:vAlign w:val="center"/>
            <w:tcMar>
              <w:top w:w="70" w:type="dxa"/>
              <w:bottom w:w="70" w:type="dxa"/>
              <w:left w:w="85" w:type="dxa"/>
              <w:right w:w="85" w:type="dxa"/>
            </w:tcMar>
          </w:tcPr>
          <w:p>
            <w:pPr>
              <w:keepNext/>
              <w:keepLines/>
              <w:spacing w:line="240" w:lineRule="auto" w:before="0" w:after="0"/>
              <w:ind w:firstLine="0"/>
              <w:jc w:val="center"/>
            </w:pPr>
            <w:r>
              <w:rPr>
                <w:rFonts w:ascii="Times New Roman" w:hAnsi="Times New Roman"/>
                <w:b/>
                <w:color w:val="000000"/>
                <w:sz w:val="24"/>
              </w:rPr>
              <w:t>Задача будущей системы</w:t>
            </w:r>
          </w:p>
        </w:tc>
      </w:tr>
      <w:tr>
        <w:trPr>
          <w:cantSplit/>
        </w:trPr>
        <w:tc>
          <w:tcPr>
            <w:tcW w:type="dxa" w:w="2891"/>
            <w:vAlign w:val="center"/>
            <w:tcMar>
              <w:top w:w="70" w:type="dxa"/>
              <w:bottom w:w="70" w:type="dxa"/>
              <w:left w:w="85" w:type="dxa"/>
              <w:right w:w="85" w:type="dxa"/>
            </w:tcMar>
          </w:tcPr>
          <w:p>
            <w:pPr>
              <w:keepNext/>
              <w:keepLines/>
              <w:spacing w:line="240" w:lineRule="auto" w:before="0" w:after="0"/>
              <w:ind w:firstLine="0"/>
              <w:jc w:val="left"/>
            </w:pPr>
            <w:r>
              <w:rPr>
                <w:rFonts w:ascii="Times New Roman" w:hAnsi="Times New Roman"/>
                <w:b w:val="0"/>
                <w:color w:val="000000"/>
                <w:sz w:val="24"/>
              </w:rPr>
              <w:t>SCA и контроль зависимостей: состав, известные проблемы, политики и исправления</w:t>
            </w:r>
          </w:p>
        </w:tc>
        <w:tc>
          <w:tcPr>
            <w:tcW w:type="dxa" w:w="3005"/>
            <w:vAlign w:val="center"/>
            <w:tcMar>
              <w:top w:w="70" w:type="dxa"/>
              <w:bottom w:w="70" w:type="dxa"/>
              <w:left w:w="85" w:type="dxa"/>
              <w:right w:w="85" w:type="dxa"/>
            </w:tcMar>
          </w:tcPr>
          <w:p>
            <w:pPr>
              <w:keepNext/>
              <w:keepLines/>
              <w:spacing w:line="240" w:lineRule="auto" w:before="0" w:after="0"/>
              <w:ind w:firstLine="0"/>
              <w:jc w:val="left"/>
            </w:pPr>
            <w:r>
              <w:rPr>
                <w:rFonts w:ascii="Times New Roman" w:hAnsi="Times New Roman"/>
                <w:b w:val="0"/>
                <w:color w:val="000000"/>
                <w:sz w:val="24"/>
              </w:rPr>
              <w:t>Проверить применимость находки к фактической версии и условиям эксплуатации.</w:t>
            </w:r>
          </w:p>
        </w:tc>
        <w:tc>
          <w:tcPr>
            <w:tcW w:type="dxa" w:w="3458"/>
            <w:vAlign w:val="center"/>
            <w:tcMar>
              <w:top w:w="70" w:type="dxa"/>
              <w:bottom w:w="70" w:type="dxa"/>
              <w:left w:w="85" w:type="dxa"/>
              <w:right w:w="85" w:type="dxa"/>
            </w:tcMar>
          </w:tcPr>
          <w:p>
            <w:pPr>
              <w:keepNext/>
              <w:keepLines/>
              <w:spacing w:line="240" w:lineRule="auto" w:before="0" w:after="0"/>
              <w:ind w:firstLine="0"/>
              <w:jc w:val="left"/>
            </w:pPr>
            <w:r>
              <w:rPr>
                <w:rFonts w:ascii="Times New Roman" w:hAnsi="Times New Roman"/>
                <w:b w:val="0"/>
                <w:color w:val="000000"/>
                <w:sz w:val="24"/>
              </w:rPr>
              <w:t>Связать техническое основание с условиями использования, действием и недостающими сведениями.</w:t>
            </w:r>
          </w:p>
        </w:tc>
      </w:tr>
      <w:tr>
        <w:trPr>
          <w:cantSplit/>
        </w:trPr>
        <w:tc>
          <w:tcPr>
            <w:tcW w:type="dxa" w:w="2891"/>
            <w:vAlign w:val="center"/>
            <w:tcMar>
              <w:top w:w="70" w:type="dxa"/>
              <w:bottom w:w="70" w:type="dxa"/>
              <w:left w:w="85" w:type="dxa"/>
              <w:right w:w="85" w:type="dxa"/>
            </w:tcMar>
          </w:tcPr>
          <w:p>
            <w:pPr>
              <w:keepNext/>
              <w:keepLines/>
              <w:spacing w:line="240" w:lineRule="auto" w:before="0" w:after="0"/>
              <w:ind w:firstLine="0"/>
              <w:jc w:val="left"/>
            </w:pPr>
            <w:r>
              <w:rPr>
                <w:rFonts w:ascii="Times New Roman" w:hAnsi="Times New Roman"/>
                <w:b w:val="0"/>
                <w:color w:val="000000"/>
                <w:sz w:val="24"/>
              </w:rPr>
              <w:t>Socket: признаки риска пакета и изменения публикации</w:t>
            </w:r>
          </w:p>
        </w:tc>
        <w:tc>
          <w:tcPr>
            <w:tcW w:type="dxa" w:w="3005"/>
            <w:vAlign w:val="center"/>
            <w:tcMar>
              <w:top w:w="70" w:type="dxa"/>
              <w:bottom w:w="70" w:type="dxa"/>
              <w:left w:w="85" w:type="dxa"/>
              <w:right w:w="85" w:type="dxa"/>
            </w:tcMar>
          </w:tcPr>
          <w:p>
            <w:pPr>
              <w:keepNext/>
              <w:keepLines/>
              <w:spacing w:line="240" w:lineRule="auto" w:before="0" w:after="0"/>
              <w:ind w:firstLine="0"/>
              <w:jc w:val="left"/>
            </w:pPr>
            <w:r>
              <w:rPr>
                <w:rFonts w:ascii="Times New Roman" w:hAnsi="Times New Roman"/>
                <w:b w:val="0"/>
                <w:color w:val="000000"/>
                <w:sz w:val="24"/>
              </w:rPr>
              <w:t>Уточнить значение события и подтвердить, какой выпуск затронут.</w:t>
            </w:r>
          </w:p>
        </w:tc>
        <w:tc>
          <w:tcPr>
            <w:tcW w:type="dxa" w:w="3458"/>
            <w:vAlign w:val="center"/>
            <w:tcMar>
              <w:top w:w="70" w:type="dxa"/>
              <w:bottom w:w="70" w:type="dxa"/>
              <w:left w:w="85" w:type="dxa"/>
              <w:right w:w="85" w:type="dxa"/>
            </w:tcMar>
          </w:tcPr>
          <w:p>
            <w:pPr>
              <w:keepNext/>
              <w:keepLines/>
              <w:spacing w:line="240" w:lineRule="auto" w:before="0" w:after="0"/>
              <w:ind w:firstLine="0"/>
              <w:jc w:val="left"/>
            </w:pPr>
            <w:r>
              <w:rPr>
                <w:rFonts w:ascii="Times New Roman" w:hAnsi="Times New Roman"/>
                <w:b w:val="0"/>
                <w:color w:val="000000"/>
                <w:sz w:val="24"/>
              </w:rPr>
              <w:t>Показать причину проверки и сведения, после получения которых решение пересматривается.</w:t>
            </w:r>
          </w:p>
        </w:tc>
      </w:tr>
      <w:tr>
        <w:trPr>
          <w:cantSplit/>
        </w:trPr>
        <w:tc>
          <w:tcPr>
            <w:tcW w:type="dxa" w:w="2891"/>
            <w:vAlign w:val="center"/>
            <w:tcMar>
              <w:top w:w="70" w:type="dxa"/>
              <w:bottom w:w="70" w:type="dxa"/>
              <w:left w:w="85" w:type="dxa"/>
              <w:right w:w="85" w:type="dxa"/>
            </w:tcMar>
          </w:tcPr>
          <w:p>
            <w:pPr>
              <w:keepNext/>
              <w:keepLines/>
              <w:spacing w:line="240" w:lineRule="auto" w:before="0" w:after="0"/>
              <w:ind w:firstLine="0"/>
              <w:jc w:val="left"/>
            </w:pPr>
            <w:r>
              <w:rPr>
                <w:rFonts w:ascii="Times New Roman" w:hAnsi="Times New Roman"/>
                <w:b w:val="0"/>
                <w:color w:val="000000"/>
                <w:sz w:val="24"/>
              </w:rPr>
              <w:t>CodeQL: находка в исходном коде с местом и правилом</w:t>
            </w:r>
          </w:p>
        </w:tc>
        <w:tc>
          <w:tcPr>
            <w:tcW w:type="dxa" w:w="3005"/>
            <w:vAlign w:val="center"/>
            <w:tcMar>
              <w:top w:w="70" w:type="dxa"/>
              <w:bottom w:w="70" w:type="dxa"/>
              <w:left w:w="85" w:type="dxa"/>
              <w:right w:w="85" w:type="dxa"/>
            </w:tcMar>
          </w:tcPr>
          <w:p>
            <w:pPr>
              <w:keepNext/>
              <w:keepLines/>
              <w:spacing w:line="240" w:lineRule="auto" w:before="0" w:after="0"/>
              <w:ind w:firstLine="0"/>
              <w:jc w:val="left"/>
            </w:pPr>
            <w:r>
              <w:rPr>
                <w:rFonts w:ascii="Times New Roman" w:hAnsi="Times New Roman"/>
                <w:b w:val="0"/>
                <w:color w:val="000000"/>
                <w:sz w:val="24"/>
              </w:rPr>
              <w:t>Проверить значение находки и дополнить сведения о зависимостях и выпуске.</w:t>
            </w:r>
          </w:p>
        </w:tc>
        <w:tc>
          <w:tcPr>
            <w:tcW w:type="dxa" w:w="3458"/>
            <w:vAlign w:val="center"/>
            <w:tcMar>
              <w:top w:w="70" w:type="dxa"/>
              <w:bottom w:w="70" w:type="dxa"/>
              <w:left w:w="85" w:type="dxa"/>
              <w:right w:w="85" w:type="dxa"/>
            </w:tcMar>
          </w:tcPr>
          <w:p>
            <w:pPr>
              <w:keepNext/>
              <w:keepLines/>
              <w:spacing w:line="240" w:lineRule="auto" w:before="0" w:after="0"/>
              <w:ind w:firstLine="0"/>
              <w:jc w:val="left"/>
            </w:pPr>
            <w:r>
              <w:rPr>
                <w:rFonts w:ascii="Times New Roman" w:hAnsi="Times New Roman"/>
                <w:b w:val="0"/>
                <w:color w:val="000000"/>
                <w:sz w:val="24"/>
              </w:rPr>
              <w:t>Совместно представить разные виды свидетельств с сохранением их объекта и смысла.</w:t>
            </w:r>
          </w:p>
        </w:tc>
      </w:tr>
      <w:tr>
        <w:trPr>
          <w:cantSplit/>
        </w:trPr>
        <w:tc>
          <w:tcPr>
            <w:tcW w:type="dxa" w:w="2891"/>
            <w:vAlign w:val="center"/>
            <w:tcMar>
              <w:top w:w="70" w:type="dxa"/>
              <w:bottom w:w="70" w:type="dxa"/>
              <w:left w:w="85" w:type="dxa"/>
              <w:right w:w="85" w:type="dxa"/>
            </w:tcMar>
          </w:tcPr>
          <w:p>
            <w:pPr>
              <w:keepNext/>
              <w:keepLines/>
              <w:spacing w:line="240" w:lineRule="auto" w:before="0" w:after="0"/>
              <w:ind w:firstLine="0"/>
              <w:jc w:val="left"/>
            </w:pPr>
            <w:r>
              <w:rPr>
                <w:rFonts w:ascii="Times New Roman" w:hAnsi="Times New Roman"/>
                <w:b w:val="0"/>
                <w:color w:val="000000"/>
                <w:sz w:val="24"/>
              </w:rPr>
              <w:t>Scorecard: проверки наблюдаемых защитных практик</w:t>
            </w:r>
          </w:p>
        </w:tc>
        <w:tc>
          <w:tcPr>
            <w:tcW w:type="dxa" w:w="3005"/>
            <w:vAlign w:val="center"/>
            <w:tcMar>
              <w:top w:w="70" w:type="dxa"/>
              <w:bottom w:w="70" w:type="dxa"/>
              <w:left w:w="85" w:type="dxa"/>
              <w:right w:w="85" w:type="dxa"/>
            </w:tcMar>
          </w:tcPr>
          <w:p>
            <w:pPr>
              <w:keepNext/>
              <w:keepLines/>
              <w:spacing w:line="240" w:lineRule="auto" w:before="0" w:after="0"/>
              <w:ind w:firstLine="0"/>
              <w:jc w:val="left"/>
            </w:pPr>
            <w:r>
              <w:rPr>
                <w:rFonts w:ascii="Times New Roman" w:hAnsi="Times New Roman"/>
                <w:b w:val="0"/>
                <w:color w:val="000000"/>
                <w:sz w:val="24"/>
              </w:rPr>
              <w:t>Установить причину низкой оценки либо недоступности проверки.</w:t>
            </w:r>
          </w:p>
        </w:tc>
        <w:tc>
          <w:tcPr>
            <w:tcW w:type="dxa" w:w="3458"/>
            <w:vAlign w:val="center"/>
            <w:tcMar>
              <w:top w:w="70" w:type="dxa"/>
              <w:bottom w:w="70" w:type="dxa"/>
              <w:left w:w="85" w:type="dxa"/>
              <w:right w:w="85" w:type="dxa"/>
            </w:tcMar>
          </w:tcPr>
          <w:p>
            <w:pPr>
              <w:keepNext/>
              <w:keepLines/>
              <w:spacing w:line="240" w:lineRule="auto" w:before="0" w:after="0"/>
              <w:ind w:firstLine="0"/>
              <w:jc w:val="left"/>
            </w:pPr>
            <w:r>
              <w:rPr>
                <w:rFonts w:ascii="Times New Roman" w:hAnsi="Times New Roman"/>
                <w:b w:val="0"/>
                <w:color w:val="000000"/>
                <w:sz w:val="24"/>
              </w:rPr>
              <w:t>Различать нарушение, ограничение проверки и недостаток данных в объяснении решения.</w:t>
            </w:r>
          </w:p>
        </w:tc>
      </w:tr>
      <w:tr>
        <w:trPr>
          <w:cantSplit/>
        </w:trPr>
        <w:tc>
          <w:tcPr>
            <w:tcW w:type="dxa" w:w="2891"/>
            <w:vAlign w:val="center"/>
            <w:tcMar>
              <w:top w:w="70" w:type="dxa"/>
              <w:bottom w:w="70" w:type="dxa"/>
              <w:left w:w="85" w:type="dxa"/>
              <w:right w:w="85" w:type="dxa"/>
            </w:tcMar>
          </w:tcPr>
          <w:p>
            <w:pPr>
              <w:keepNext w:val="0"/>
              <w:keepLines/>
              <w:spacing w:line="240" w:lineRule="auto" w:before="0" w:after="0"/>
              <w:ind w:firstLine="0"/>
              <w:jc w:val="left"/>
            </w:pPr>
            <w:r>
              <w:rPr>
                <w:rFonts w:ascii="Times New Roman" w:hAnsi="Times New Roman"/>
                <w:b w:val="0"/>
                <w:color w:val="000000"/>
                <w:sz w:val="24"/>
              </w:rPr>
              <w:t>CodeScoring TQI: история вкладов и метрики разработки</w:t>
            </w:r>
          </w:p>
        </w:tc>
        <w:tc>
          <w:tcPr>
            <w:tcW w:type="dxa" w:w="3005"/>
            <w:vAlign w:val="center"/>
            <w:tcMar>
              <w:top w:w="70" w:type="dxa"/>
              <w:bottom w:w="70" w:type="dxa"/>
              <w:left w:w="85" w:type="dxa"/>
              <w:right w:w="85" w:type="dxa"/>
            </w:tcMar>
          </w:tcPr>
          <w:p>
            <w:pPr>
              <w:keepNext w:val="0"/>
              <w:keepLines/>
              <w:spacing w:line="240" w:lineRule="auto" w:before="0" w:after="0"/>
              <w:ind w:firstLine="0"/>
              <w:jc w:val="left"/>
            </w:pPr>
            <w:r>
              <w:rPr>
                <w:rFonts w:ascii="Times New Roman" w:hAnsi="Times New Roman"/>
                <w:b w:val="0"/>
                <w:color w:val="000000"/>
                <w:sz w:val="24"/>
              </w:rPr>
              <w:t>Различить вклад и полномочия, уточнить контекст сопровождения.</w:t>
            </w:r>
          </w:p>
        </w:tc>
        <w:tc>
          <w:tcPr>
            <w:tcW w:type="dxa" w:w="3458"/>
            <w:vAlign w:val="center"/>
            <w:tcMar>
              <w:top w:w="70" w:type="dxa"/>
              <w:bottom w:w="70" w:type="dxa"/>
              <w:left w:w="85" w:type="dxa"/>
              <w:right w:w="85" w:type="dxa"/>
            </w:tcMar>
          </w:tcPr>
          <w:p>
            <w:pPr>
              <w:keepNext w:val="0"/>
              <w:keepLines/>
              <w:spacing w:line="240" w:lineRule="auto" w:before="0" w:after="0"/>
              <w:ind w:firstLine="0"/>
              <w:jc w:val="left"/>
            </w:pPr>
            <w:r>
              <w:rPr>
                <w:rFonts w:ascii="Times New Roman" w:hAnsi="Times New Roman"/>
                <w:b w:val="0"/>
                <w:color w:val="000000"/>
                <w:sz w:val="24"/>
              </w:rPr>
              <w:t>Использовать участие как подтверждённый контекст без автоматического вывода о надёжности.</w:t>
            </w:r>
          </w:p>
        </w:tc>
      </w:tr>
    </w:tbl>
    <w:p>
      <w:pPr>
        <w:keepNext w:val="0"/>
        <w:keepLines w:val="0"/>
        <w:pageBreakBefore w:val="0"/>
        <w:widowControl/>
        <w:spacing w:line="360" w:lineRule="auto" w:before="0" w:after="0"/>
        <w:ind w:firstLine="709"/>
        <w:jc w:val="both"/>
      </w:pPr>
      <w:r>
        <w:rPr>
          <w:rFonts w:ascii="Times New Roman" w:hAnsi="Times New Roman"/>
          <w:b w:val="0"/>
          <w:color w:val="000000"/>
          <w:sz w:val="28"/>
        </w:rPr>
        <w:t>Практическая задача системы — собрать доступные сведения и связать их с рекомендацией по явным правилам. Данные о репозитории характеризуют активность, участие и наблюдаемые практики разработки. Результаты существующих анализаторов могут дополнять их сведениями о коде и зависимостях; для каждой находки сохраняются её объект, источник и основание.</w:t>
      </w:r>
    </w:p>
    <w:p>
      <w:pPr>
        <w:keepNext w:val="0"/>
        <w:keepLines w:val="0"/>
        <w:pageBreakBefore w:val="0"/>
        <w:widowControl/>
        <w:spacing w:line="360" w:lineRule="auto" w:before="0" w:after="0"/>
        <w:ind w:firstLine="709"/>
        <w:jc w:val="both"/>
      </w:pPr>
      <w:r>
        <w:rPr>
          <w:rFonts w:ascii="Times New Roman" w:hAnsi="Times New Roman"/>
          <w:b w:val="0"/>
          <w:color w:val="000000"/>
          <w:sz w:val="28"/>
        </w:rPr>
        <w:t>По результатам исследования сформулированы шесть требований (таблица 1.7), согласованных с аналитическим отчётом. Конкретные источники, показатели и способы реализации относятся к этапу проектирования.</w:t>
      </w:r>
    </w:p>
    <w:p w:rsidR="00000001">
      <w:pPr>
        <w:keepNext/>
        <w:keepLines w:val="0"/>
        <w:pageBreakBefore w:val="0"/>
        <w:widowControl/>
        <w:spacing w:line="240" w:lineRule="auto" w:before="160" w:after="120"/>
        <w:ind w:firstLine="0"/>
        <w:jc w:val="left"/>
      </w:pPr>
      <w:r>
        <w:rPr>
          <w:rFonts w:ascii="Times New Roman" w:hAnsi="Times New Roman"/>
          <w:b w:val="0"/>
          <w:color w:val="000000"/>
          <w:sz w:val="28"/>
        </w:rPr>
        <w:t>Таблица 1.7 — Основные требования к разрабатываемой системе</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510"/>
        <w:gridCol w:w="2948"/>
        <w:gridCol w:w="5896"/>
      </w:tblGrid>
      <w:tr>
        <w:trPr>
          <w:cantSplit/>
          <w:tblHeader/>
        </w:trPr>
        <w:tc>
          <w:tcPr>
            <w:tcW w:type="dxa" w:w="510"/>
            <w:vAlign w:val="center"/>
            <w:tcMar>
              <w:top w:w="70" w:type="dxa"/>
              <w:bottom w:w="70" w:type="dxa"/>
              <w:left w:w="85" w:type="dxa"/>
              <w:right w:w="85" w:type="dxa"/>
            </w:tcMar>
          </w:tcPr>
          <w:p>
            <w:pPr>
              <w:keepNext/>
              <w:keepLines/>
              <w:spacing w:before="0" w:after="0" w:line="240" w:lineRule="auto"/>
              <w:ind w:firstLine="0"/>
              <w:jc w:val="center"/>
            </w:pPr>
            <w:r>
              <w:rPr>
                <w:rFonts w:ascii="Times New Roman" w:hAnsi="Times New Roman"/>
                <w:b/>
                <w:sz w:val="24"/>
              </w:rPr>
              <w:t>№</w:t>
            </w:r>
          </w:p>
        </w:tc>
        <w:tc>
          <w:tcPr>
            <w:tcW w:type="dxa" w:w="2948"/>
            <w:vAlign w:val="center"/>
            <w:tcMar>
              <w:top w:w="70" w:type="dxa"/>
              <w:bottom w:w="70" w:type="dxa"/>
              <w:left w:w="85" w:type="dxa"/>
              <w:right w:w="85" w:type="dxa"/>
            </w:tcMar>
          </w:tcPr>
          <w:p>
            <w:pPr>
              <w:keepNext/>
              <w:keepLines/>
              <w:spacing w:before="0" w:after="0" w:line="240" w:lineRule="auto"/>
              <w:ind w:firstLine="0"/>
              <w:jc w:val="center"/>
            </w:pPr>
            <w:r>
              <w:rPr>
                <w:rFonts w:ascii="Times New Roman" w:hAnsi="Times New Roman"/>
                <w:b/>
                <w:sz w:val="24"/>
              </w:rPr>
              <w:t>Требование</w:t>
            </w:r>
          </w:p>
        </w:tc>
        <w:tc>
          <w:tcPr>
            <w:tcW w:type="dxa" w:w="5896"/>
            <w:vAlign w:val="center"/>
            <w:tcMar>
              <w:top w:w="70" w:type="dxa"/>
              <w:bottom w:w="70" w:type="dxa"/>
              <w:left w:w="85" w:type="dxa"/>
              <w:right w:w="85" w:type="dxa"/>
            </w:tcMar>
          </w:tcPr>
          <w:p>
            <w:pPr>
              <w:keepNext/>
              <w:keepLines/>
              <w:spacing w:before="0" w:after="0" w:line="240" w:lineRule="auto"/>
              <w:ind w:firstLine="0"/>
              <w:jc w:val="center"/>
            </w:pPr>
            <w:r>
              <w:rPr>
                <w:rFonts w:ascii="Times New Roman" w:hAnsi="Times New Roman"/>
                <w:b/>
                <w:sz w:val="24"/>
              </w:rPr>
              <w:t>Содержание</w:t>
            </w:r>
          </w:p>
        </w:tc>
      </w:tr>
      <w:tr>
        <w:trPr>
          <w:cantSplit/>
        </w:trPr>
        <w:tc>
          <w:tcPr>
            <w:tcW w:type="dxa" w:w="510"/>
            <w:vAlign w:val="center"/>
            <w:tcMar>
              <w:top w:w="70" w:type="dxa"/>
              <w:bottom w:w="70" w:type="dxa"/>
              <w:left w:w="85" w:type="dxa"/>
              <w:right w:w="85" w:type="dxa"/>
            </w:tcMar>
          </w:tcPr>
          <w:p>
            <w:pPr>
              <w:keepNext/>
              <w:keepLines/>
              <w:spacing w:before="0" w:after="0" w:line="240" w:lineRule="auto"/>
              <w:ind w:firstLine="0"/>
              <w:jc w:val="center"/>
            </w:pPr>
            <w:r>
              <w:rPr>
                <w:rFonts w:ascii="Times New Roman" w:hAnsi="Times New Roman"/>
                <w:b w:val="0"/>
                <w:sz w:val="24"/>
              </w:rPr>
              <w:t>1</w:t>
            </w:r>
          </w:p>
        </w:tc>
        <w:tc>
          <w:tcPr>
            <w:tcW w:type="dxa" w:w="2948"/>
            <w:vAlign w:val="center"/>
            <w:tcMar>
              <w:top w:w="70" w:type="dxa"/>
              <w:bottom w:w="70" w:type="dxa"/>
              <w:left w:w="85" w:type="dxa"/>
              <w:right w:w="85" w:type="dxa"/>
            </w:tcMar>
          </w:tcPr>
          <w:p>
            <w:pPr>
              <w:keepNext/>
              <w:keepLines/>
              <w:spacing w:before="0" w:after="0" w:line="240" w:lineRule="auto"/>
              <w:ind w:firstLine="0"/>
              <w:jc w:val="left"/>
            </w:pPr>
            <w:r>
              <w:rPr>
                <w:rFonts w:ascii="Times New Roman" w:hAnsi="Times New Roman"/>
                <w:b w:val="0"/>
                <w:sz w:val="24"/>
              </w:rPr>
              <w:t>Указание объекта анализа</w:t>
            </w:r>
          </w:p>
        </w:tc>
        <w:tc>
          <w:tcPr>
            <w:tcW w:type="dxa" w:w="5896"/>
            <w:vAlign w:val="center"/>
            <w:tcMar>
              <w:top w:w="70" w:type="dxa"/>
              <w:bottom w:w="70" w:type="dxa"/>
              <w:left w:w="85" w:type="dxa"/>
              <w:right w:w="85" w:type="dxa"/>
            </w:tcMar>
          </w:tcPr>
          <w:p>
            <w:pPr>
              <w:keepNext/>
              <w:keepLines/>
              <w:spacing w:before="0" w:after="0" w:line="240" w:lineRule="auto"/>
              <w:ind w:firstLine="0"/>
              <w:jc w:val="left"/>
            </w:pPr>
            <w:r>
              <w:rPr>
                <w:rFonts w:ascii="Times New Roman" w:hAnsi="Times New Roman"/>
                <w:b w:val="0"/>
                <w:sz w:val="24"/>
              </w:rPr>
              <w:t>Сохранять ссылку на репозиторий, выбранную версию или коммит и дату получения сведений.</w:t>
            </w:r>
          </w:p>
        </w:tc>
      </w:tr>
      <w:tr>
        <w:trPr>
          <w:cantSplit/>
        </w:trPr>
        <w:tc>
          <w:tcPr>
            <w:tcW w:type="dxa" w:w="510"/>
            <w:vAlign w:val="center"/>
            <w:tcMar>
              <w:top w:w="70" w:type="dxa"/>
              <w:bottom w:w="70" w:type="dxa"/>
              <w:left w:w="85" w:type="dxa"/>
              <w:right w:w="85" w:type="dxa"/>
            </w:tcMar>
          </w:tcPr>
          <w:p>
            <w:pPr>
              <w:keepNext/>
              <w:keepLines/>
              <w:spacing w:before="0" w:after="0" w:line="240" w:lineRule="auto"/>
              <w:ind w:firstLine="0"/>
              <w:jc w:val="center"/>
            </w:pPr>
            <w:r>
              <w:rPr>
                <w:rFonts w:ascii="Times New Roman" w:hAnsi="Times New Roman"/>
                <w:b w:val="0"/>
                <w:sz w:val="24"/>
              </w:rPr>
              <w:t>2</w:t>
            </w:r>
          </w:p>
        </w:tc>
        <w:tc>
          <w:tcPr>
            <w:tcW w:type="dxa" w:w="2948"/>
            <w:vAlign w:val="center"/>
            <w:tcMar>
              <w:top w:w="70" w:type="dxa"/>
              <w:bottom w:w="70" w:type="dxa"/>
              <w:left w:w="85" w:type="dxa"/>
              <w:right w:w="85" w:type="dxa"/>
            </w:tcMar>
          </w:tcPr>
          <w:p>
            <w:pPr>
              <w:keepNext/>
              <w:keepLines/>
              <w:spacing w:before="0" w:after="0" w:line="240" w:lineRule="auto"/>
              <w:ind w:firstLine="0"/>
              <w:jc w:val="left"/>
            </w:pPr>
            <w:r>
              <w:rPr>
                <w:rFonts w:ascii="Times New Roman" w:hAnsi="Times New Roman"/>
                <w:b w:val="0"/>
                <w:sz w:val="24"/>
              </w:rPr>
              <w:t>Сбор доступных сведений</w:t>
            </w:r>
          </w:p>
        </w:tc>
        <w:tc>
          <w:tcPr>
            <w:tcW w:type="dxa" w:w="5896"/>
            <w:vAlign w:val="center"/>
            <w:tcMar>
              <w:top w:w="70" w:type="dxa"/>
              <w:bottom w:w="70" w:type="dxa"/>
              <w:left w:w="85" w:type="dxa"/>
              <w:right w:w="85" w:type="dxa"/>
            </w:tcMar>
          </w:tcPr>
          <w:p>
            <w:pPr>
              <w:keepNext/>
              <w:keepLines/>
              <w:spacing w:before="0" w:after="0" w:line="240" w:lineRule="auto"/>
              <w:ind w:firstLine="0"/>
              <w:jc w:val="left"/>
            </w:pPr>
            <w:r>
              <w:rPr>
                <w:rFonts w:ascii="Times New Roman" w:hAnsi="Times New Roman"/>
                <w:b w:val="0"/>
                <w:sz w:val="24"/>
              </w:rPr>
              <w:t>Получать показатели активности и участия разработчиков; учитывать доступные сведения о защитных практиках и результаты готовых проверок.</w:t>
            </w:r>
          </w:p>
        </w:tc>
      </w:tr>
      <w:tr>
        <w:trPr>
          <w:cantSplit/>
        </w:trPr>
        <w:tc>
          <w:tcPr>
            <w:tcW w:type="dxa" w:w="510"/>
            <w:vAlign w:val="center"/>
            <w:tcMar>
              <w:top w:w="70" w:type="dxa"/>
              <w:bottom w:w="70" w:type="dxa"/>
              <w:left w:w="85" w:type="dxa"/>
              <w:right w:w="85" w:type="dxa"/>
            </w:tcMar>
          </w:tcPr>
          <w:p>
            <w:pPr>
              <w:keepNext/>
              <w:keepLines/>
              <w:spacing w:before="0" w:after="0" w:line="240" w:lineRule="auto"/>
              <w:ind w:firstLine="0"/>
              <w:jc w:val="center"/>
            </w:pPr>
            <w:r>
              <w:rPr>
                <w:rFonts w:ascii="Times New Roman" w:hAnsi="Times New Roman"/>
                <w:b w:val="0"/>
                <w:sz w:val="24"/>
              </w:rPr>
              <w:t>3</w:t>
            </w:r>
          </w:p>
        </w:tc>
        <w:tc>
          <w:tcPr>
            <w:tcW w:type="dxa" w:w="2948"/>
            <w:vAlign w:val="center"/>
            <w:tcMar>
              <w:top w:w="70" w:type="dxa"/>
              <w:bottom w:w="70" w:type="dxa"/>
              <w:left w:w="85" w:type="dxa"/>
              <w:right w:w="85" w:type="dxa"/>
            </w:tcMar>
          </w:tcPr>
          <w:p>
            <w:pPr>
              <w:keepNext/>
              <w:keepLines/>
              <w:spacing w:before="0" w:after="0" w:line="240" w:lineRule="auto"/>
              <w:ind w:firstLine="0"/>
              <w:jc w:val="left"/>
            </w:pPr>
            <w:r>
              <w:rPr>
                <w:rFonts w:ascii="Times New Roman" w:hAnsi="Times New Roman"/>
                <w:b w:val="0"/>
                <w:sz w:val="24"/>
              </w:rPr>
              <w:t>Формирование рекомендации</w:t>
            </w:r>
          </w:p>
        </w:tc>
        <w:tc>
          <w:tcPr>
            <w:tcW w:type="dxa" w:w="5896"/>
            <w:vAlign w:val="center"/>
            <w:tcMar>
              <w:top w:w="70" w:type="dxa"/>
              <w:bottom w:w="70" w:type="dxa"/>
              <w:left w:w="85" w:type="dxa"/>
              <w:right w:w="85" w:type="dxa"/>
            </w:tcMar>
          </w:tcPr>
          <w:p>
            <w:pPr>
              <w:keepNext/>
              <w:keepLines/>
              <w:spacing w:before="0" w:after="0" w:line="240" w:lineRule="auto"/>
              <w:ind w:firstLine="0"/>
              <w:jc w:val="left"/>
            </w:pPr>
            <w:r>
              <w:rPr>
                <w:rFonts w:ascii="Times New Roman" w:hAnsi="Times New Roman"/>
                <w:b w:val="0"/>
                <w:sz w:val="24"/>
              </w:rPr>
              <w:t>По явно заданным правилам формировать рекомендацию об использовании проекта или необходимости дополнительной проверки.</w:t>
            </w:r>
          </w:p>
        </w:tc>
      </w:tr>
      <w:tr>
        <w:trPr>
          <w:cantSplit/>
        </w:trPr>
        <w:tc>
          <w:tcPr>
            <w:tcW w:type="dxa" w:w="510"/>
            <w:vAlign w:val="center"/>
            <w:tcMar>
              <w:top w:w="70" w:type="dxa"/>
              <w:bottom w:w="70" w:type="dxa"/>
              <w:left w:w="85" w:type="dxa"/>
              <w:right w:w="85" w:type="dxa"/>
            </w:tcMar>
          </w:tcPr>
          <w:p>
            <w:pPr>
              <w:keepNext/>
              <w:keepLines/>
              <w:spacing w:before="0" w:after="0" w:line="240" w:lineRule="auto"/>
              <w:ind w:firstLine="0"/>
              <w:jc w:val="center"/>
            </w:pPr>
            <w:r>
              <w:rPr>
                <w:rFonts w:ascii="Times New Roman" w:hAnsi="Times New Roman"/>
                <w:b w:val="0"/>
                <w:sz w:val="24"/>
              </w:rPr>
              <w:t>4</w:t>
            </w:r>
          </w:p>
        </w:tc>
        <w:tc>
          <w:tcPr>
            <w:tcW w:type="dxa" w:w="2948"/>
            <w:vAlign w:val="center"/>
            <w:tcMar>
              <w:top w:w="70" w:type="dxa"/>
              <w:bottom w:w="70" w:type="dxa"/>
              <w:left w:w="85" w:type="dxa"/>
              <w:right w:w="85" w:type="dxa"/>
            </w:tcMar>
          </w:tcPr>
          <w:p>
            <w:pPr>
              <w:keepNext/>
              <w:keepLines/>
              <w:spacing w:before="0" w:after="0" w:line="240" w:lineRule="auto"/>
              <w:ind w:firstLine="0"/>
              <w:jc w:val="left"/>
            </w:pPr>
            <w:r>
              <w:rPr>
                <w:rFonts w:ascii="Times New Roman" w:hAnsi="Times New Roman"/>
                <w:b w:val="0"/>
                <w:sz w:val="24"/>
              </w:rPr>
              <w:t>Объяснение результата</w:t>
            </w:r>
          </w:p>
        </w:tc>
        <w:tc>
          <w:tcPr>
            <w:tcW w:type="dxa" w:w="5896"/>
            <w:vAlign w:val="center"/>
            <w:tcMar>
              <w:top w:w="70" w:type="dxa"/>
              <w:bottom w:w="70" w:type="dxa"/>
              <w:left w:w="85" w:type="dxa"/>
              <w:right w:w="85" w:type="dxa"/>
            </w:tcMar>
          </w:tcPr>
          <w:p>
            <w:pPr>
              <w:keepNext/>
              <w:keepLines/>
              <w:spacing w:before="0" w:after="0" w:line="240" w:lineRule="auto"/>
              <w:ind w:firstLine="0"/>
              <w:jc w:val="left"/>
            </w:pPr>
            <w:r>
              <w:rPr>
                <w:rFonts w:ascii="Times New Roman" w:hAnsi="Times New Roman"/>
                <w:b w:val="0"/>
                <w:sz w:val="24"/>
              </w:rPr>
              <w:t>Показывать, какие наблюдаемые факты повлияли на рекомендацию, и приводить ссылки на их источники.</w:t>
            </w:r>
          </w:p>
        </w:tc>
      </w:tr>
      <w:tr>
        <w:trPr>
          <w:cantSplit/>
        </w:trPr>
        <w:tc>
          <w:tcPr>
            <w:tcW w:type="dxa" w:w="510"/>
            <w:vAlign w:val="center"/>
            <w:tcMar>
              <w:top w:w="70" w:type="dxa"/>
              <w:bottom w:w="70" w:type="dxa"/>
              <w:left w:w="85" w:type="dxa"/>
              <w:right w:w="85" w:type="dxa"/>
            </w:tcMar>
          </w:tcPr>
          <w:p>
            <w:pPr>
              <w:keepNext/>
              <w:keepLines/>
              <w:spacing w:before="0" w:after="0" w:line="240" w:lineRule="auto"/>
              <w:ind w:firstLine="0"/>
              <w:jc w:val="center"/>
            </w:pPr>
            <w:r>
              <w:rPr>
                <w:rFonts w:ascii="Times New Roman" w:hAnsi="Times New Roman"/>
                <w:b w:val="0"/>
                <w:sz w:val="24"/>
              </w:rPr>
              <w:t>5</w:t>
            </w:r>
          </w:p>
        </w:tc>
        <w:tc>
          <w:tcPr>
            <w:tcW w:type="dxa" w:w="2948"/>
            <w:vAlign w:val="center"/>
            <w:tcMar>
              <w:top w:w="70" w:type="dxa"/>
              <w:bottom w:w="70" w:type="dxa"/>
              <w:left w:w="85" w:type="dxa"/>
              <w:right w:w="85" w:type="dxa"/>
            </w:tcMar>
          </w:tcPr>
          <w:p>
            <w:pPr>
              <w:keepNext/>
              <w:keepLines/>
              <w:spacing w:before="0" w:after="0" w:line="240" w:lineRule="auto"/>
              <w:ind w:firstLine="0"/>
              <w:jc w:val="left"/>
            </w:pPr>
            <w:r>
              <w:rPr>
                <w:rFonts w:ascii="Times New Roman" w:hAnsi="Times New Roman"/>
                <w:b w:val="0"/>
                <w:sz w:val="24"/>
              </w:rPr>
              <w:t>Учёт недоступных данных</w:t>
            </w:r>
          </w:p>
        </w:tc>
        <w:tc>
          <w:tcPr>
            <w:tcW w:type="dxa" w:w="5896"/>
            <w:vAlign w:val="center"/>
            <w:tcMar>
              <w:top w:w="70" w:type="dxa"/>
              <w:bottom w:w="70" w:type="dxa"/>
              <w:left w:w="85" w:type="dxa"/>
              <w:right w:w="85" w:type="dxa"/>
            </w:tcMar>
          </w:tcPr>
          <w:p>
            <w:pPr>
              <w:keepNext/>
              <w:keepLines/>
              <w:spacing w:before="0" w:after="0" w:line="240" w:lineRule="auto"/>
              <w:ind w:firstLine="0"/>
              <w:jc w:val="left"/>
            </w:pPr>
            <w:r>
              <w:rPr>
                <w:rFonts w:ascii="Times New Roman" w:hAnsi="Times New Roman"/>
                <w:b w:val="0"/>
                <w:sz w:val="24"/>
              </w:rPr>
              <w:t>Указывать, каких сведений не хватает; не считать невозможность проверки положительным результатом.</w:t>
            </w:r>
          </w:p>
        </w:tc>
      </w:tr>
      <w:tr>
        <w:trPr>
          <w:cantSplit/>
        </w:trPr>
        <w:tc>
          <w:tcPr>
            <w:tcW w:type="dxa" w:w="510"/>
            <w:vAlign w:val="center"/>
            <w:tcMar>
              <w:top w:w="70" w:type="dxa"/>
              <w:bottom w:w="70" w:type="dxa"/>
              <w:left w:w="85" w:type="dxa"/>
              <w:right w:w="85" w:type="dxa"/>
            </w:tcMar>
          </w:tcPr>
          <w:p>
            <w:pPr>
              <w:keepNext w:val="0"/>
              <w:keepLines/>
              <w:spacing w:before="0" w:after="0" w:line="240" w:lineRule="auto"/>
              <w:ind w:firstLine="0"/>
              <w:jc w:val="center"/>
            </w:pPr>
            <w:r>
              <w:rPr>
                <w:rFonts w:ascii="Times New Roman" w:hAnsi="Times New Roman"/>
                <w:b w:val="0"/>
                <w:sz w:val="24"/>
              </w:rPr>
              <w:t>6</w:t>
            </w:r>
          </w:p>
        </w:tc>
        <w:tc>
          <w:tcPr>
            <w:tcW w:type="dxa" w:w="2948"/>
            <w:vAlign w:val="center"/>
            <w:tcMar>
              <w:top w:w="70" w:type="dxa"/>
              <w:bottom w:w="70" w:type="dxa"/>
              <w:left w:w="85" w:type="dxa"/>
              <w:right w:w="85" w:type="dxa"/>
            </w:tcMar>
          </w:tcPr>
          <w:p>
            <w:pPr>
              <w:keepNext w:val="0"/>
              <w:keepLines/>
              <w:spacing w:before="0" w:after="0" w:line="240" w:lineRule="auto"/>
              <w:ind w:firstLine="0"/>
              <w:jc w:val="left"/>
            </w:pPr>
            <w:r>
              <w:rPr>
                <w:rFonts w:ascii="Times New Roman" w:hAnsi="Times New Roman"/>
                <w:b w:val="0"/>
                <w:sz w:val="24"/>
              </w:rPr>
              <w:t>Понятное представление</w:t>
            </w:r>
          </w:p>
        </w:tc>
        <w:tc>
          <w:tcPr>
            <w:tcW w:type="dxa" w:w="5896"/>
            <w:vAlign w:val="center"/>
            <w:tcMar>
              <w:top w:w="70" w:type="dxa"/>
              <w:bottom w:w="70" w:type="dxa"/>
              <w:left w:w="85" w:type="dxa"/>
              <w:right w:w="85" w:type="dxa"/>
            </w:tcMar>
          </w:tcPr>
          <w:p>
            <w:pPr>
              <w:keepNext w:val="0"/>
              <w:keepLines/>
              <w:spacing w:before="0" w:after="0" w:line="240" w:lineRule="auto"/>
              <w:ind w:firstLine="0"/>
              <w:jc w:val="left"/>
            </w:pPr>
            <w:r>
              <w:rPr>
                <w:rFonts w:ascii="Times New Roman" w:hAnsi="Times New Roman"/>
                <w:b w:val="0"/>
                <w:sz w:val="24"/>
              </w:rPr>
              <w:t>Представлять краткий итог анализа и давать возможность просмотреть показатели, основания и предлагаемые действия.</w:t>
            </w:r>
          </w:p>
        </w:tc>
      </w:tr>
    </w:tbl>
    <w:p>
      <w:pPr>
        <w:keepNext w:val="0"/>
        <w:keepLines w:val="0"/>
        <w:pageBreakBefore w:val="0"/>
        <w:widowControl/>
        <w:spacing w:line="360" w:lineRule="auto" w:before="0" w:after="0"/>
        <w:ind w:firstLine="709"/>
        <w:jc w:val="both"/>
      </w:pPr>
      <w:r>
        <w:rPr>
          <w:rFonts w:ascii="Times New Roman" w:hAnsi="Times New Roman"/>
          <w:b w:val="0"/>
          <w:color w:val="000000"/>
          <w:sz w:val="28"/>
        </w:rPr>
        <w:t>Результат может обосновывать рассмотрение проекта для использования, дополнительную проверку либо отказ от версии при подтверждённой угрозе. Для каждого вывода показываются основания и недостающие сведения; положительный результат относится к выполненным проверкам.</w:t>
      </w:r>
    </w:p>
    <w:p>
      <w:pPr>
        <w:keepNext w:val="0"/>
        <w:keepLines w:val="0"/>
        <w:pageBreakBefore w:val="0"/>
        <w:widowControl/>
        <w:spacing w:line="360" w:lineRule="auto" w:before="0" w:after="0"/>
        <w:ind w:firstLine="709"/>
        <w:jc w:val="both"/>
      </w:pPr>
      <w:r>
        <w:rPr>
          <w:rFonts w:ascii="Times New Roman" w:hAnsi="Times New Roman"/>
          <w:b w:val="0"/>
          <w:color w:val="000000"/>
          <w:sz w:val="28"/>
        </w:rPr>
        <w:t>Для удобства работы с разрабатываемой системой предусматривается графический пользовательский интерфейс.</w:t>
      </w:r>
    </w:p>
    <w:p>
      <w:pPr>
        <w:keepNext w:val="0"/>
        <w:keepLines w:val="0"/>
        <w:pageBreakBefore w:val="0"/>
        <w:widowControl/>
        <w:spacing w:line="360" w:lineRule="auto" w:before="0" w:after="0"/>
        <w:ind w:firstLine="709"/>
        <w:jc w:val="both"/>
      </w:pPr>
      <w:r>
        <w:rPr>
          <w:rFonts w:ascii="Times New Roman" w:hAnsi="Times New Roman"/>
          <w:b w:val="0"/>
          <w:color w:val="000000"/>
          <w:sz w:val="28"/>
        </w:rPr>
        <w:t>Объяснение связывает факт с действием. Например, появление нового публикующего участника может быть основанием уточнить передачу полномочий и проверить происхождение выбранного выпуска. Пользователю следует показать само событие, связанные с ним версии и причину предлагаемой проверки. Общий индикатор сопровождается этим пояснением.</w:t>
      </w:r>
    </w:p>
    <w:p>
      <w:pPr>
        <w:keepNext w:val="0"/>
        <w:keepLines w:val="0"/>
        <w:pageBreakBefore w:val="0"/>
        <w:widowControl/>
        <w:spacing w:line="360" w:lineRule="auto" w:before="0" w:after="0"/>
        <w:ind w:firstLine="709"/>
        <w:jc w:val="both"/>
      </w:pPr>
      <w:r>
        <w:rPr>
          <w:rFonts w:ascii="Times New Roman" w:hAnsi="Times New Roman"/>
          <w:b w:val="0"/>
          <w:color w:val="000000"/>
          <w:sz w:val="28"/>
        </w:rPr>
        <w:t>Задача дальнейшей работы — разработать систему анализа процессов разработки открытого проекта с объяснимой рекомендацией о его использовании с учётом информационной безопасности и риска внедрения бэкдоров. Основной пользователь — потребитель внешнего компонента.</w:t>
      </w:r>
    </w:p>
    <w:p>
      <w:pPr>
        <w:keepNext w:val="0"/>
        <w:keepLines w:val="0"/>
        <w:pageBreakBefore w:val="0"/>
        <w:widowControl/>
        <w:spacing w:line="360" w:lineRule="auto" w:before="0" w:after="0"/>
        <w:ind w:firstLine="709"/>
        <w:jc w:val="both"/>
      </w:pPr>
      <w:r>
        <w:rPr>
          <w:rFonts w:ascii="Times New Roman" w:hAnsi="Times New Roman"/>
          <w:b w:val="0"/>
          <w:color w:val="000000"/>
          <w:sz w:val="28"/>
        </w:rPr>
        <w:t>Основу анализа составят данные публичного репозитория: активность изменений, участие разработчиков и доступные сведения о практиках разработки. Готовые проверки кода и зависимостей могут служить дополнительными входами. Организационный контекст учитывается при наличии подтверждений; окончательный набор показателей выбирается по доступности источников.</w:t>
      </w:r>
    </w:p>
    <w:p>
      <w:pPr>
        <w:keepNext w:val="0"/>
        <w:keepLines w:val="0"/>
        <w:pageBreakBefore w:val="0"/>
        <w:widowControl/>
        <w:spacing w:line="360" w:lineRule="auto" w:before="0" w:after="0"/>
        <w:ind w:firstLine="709"/>
        <w:jc w:val="both"/>
      </w:pPr>
      <w:r>
        <w:rPr>
          <w:rFonts w:ascii="Times New Roman" w:hAnsi="Times New Roman"/>
          <w:b w:val="0"/>
          <w:color w:val="000000"/>
          <w:sz w:val="28"/>
        </w:rPr>
        <w:t>Для организационных сведений важны подтверждённые источник и период: участие компаний, назначение поддержки и распределение полномочий могут быть раскрыты в разной степени. Программа сохраняет доступные показатели и отмечает стороны, требующие уточнения. По ним пользователь видит, какие дополнительные сведения помогут обосновать решение. Такой порядок позволяет продолжить анализ по имеющимся данным и сохранить объяснение каждого вывода.</w:t>
      </w:r>
    </w:p>
    <w:p>
      <w:pPr>
        <w:keepNext w:val="0"/>
        <w:keepLines w:val="0"/>
        <w:pageBreakBefore w:val="0"/>
        <w:widowControl/>
        <w:spacing w:line="360" w:lineRule="auto" w:before="0" w:after="0"/>
        <w:ind w:firstLine="709"/>
        <w:jc w:val="both"/>
      </w:pPr>
      <w:r>
        <w:rPr>
          <w:rFonts w:ascii="Times New Roman" w:hAnsi="Times New Roman"/>
          <w:b w:val="0"/>
          <w:color w:val="000000"/>
          <w:sz w:val="28"/>
        </w:rPr>
        <w:t>Для решения задачи необходимо выбрать источники и показатели, описать правила рекомендации, разработать программу с понятным представлением результата и проверить её работу на открытых проектах.</w:t>
      </w:r>
    </w:p>
    <w:p>
      <w:pPr>
        <w:keepNext w:val="0"/>
        <w:keepLines w:val="0"/>
        <w:pageBreakBefore w:val="0"/>
        <w:widowControl/>
        <w:spacing w:line="360" w:lineRule="auto" w:before="0" w:after="0"/>
        <w:ind w:firstLine="709"/>
        <w:jc w:val="both"/>
      </w:pPr>
      <w:r>
        <w:rPr>
          <w:rFonts w:ascii="Times New Roman" w:hAnsi="Times New Roman"/>
          <w:b w:val="0"/>
          <w:color w:val="000000"/>
          <w:sz w:val="28"/>
        </w:rPr>
        <w:t>Проверку предполагается провести на нескольких проектах с различной активностью и полнотой данных. Показатели будут сопоставлены с источниками, рекомендации — с заданными правилами. Отдельно будет проверена реакция на недоступные сведения и известную проблему версии. Для каждого примера будут сохранены исходные данные, ожидаемый вывод, фактический результат и расхождения.</w:t>
      </w:r>
    </w:p>
    <w:p>
      <w:pPr>
        <w:pStyle w:val="Heading2"/>
        <w:keepNext/>
        <w:keepLines/>
        <w:pageBreakBefore w:val="0"/>
        <w:widowControl/>
        <w:spacing w:line="360" w:lineRule="auto" w:before="280" w:after="280"/>
        <w:ind w:firstLine="709"/>
        <w:jc w:val="left"/>
      </w:pPr>
      <w:bookmarkStart w:id="6" w:name="_toc_conclusions"/>
      <w:r>
        <w:rPr>
          <w:rFonts w:ascii="Times New Roman" w:hAnsi="Times New Roman"/>
          <w:b/>
          <w:color w:val="000000"/>
          <w:sz w:val="28"/>
        </w:rPr>
        <w:t>Выводы по главе 1</w:t>
      </w:r>
      <w:bookmarkEnd w:id="6"/>
    </w:p>
    <w:p>
      <w:pPr>
        <w:keepNext/>
        <w:keepLines w:val="0"/>
        <w:pageBreakBefore w:val="0"/>
        <w:widowControl/>
        <w:spacing w:line="360" w:lineRule="auto" w:before="0" w:after="0"/>
        <w:ind w:firstLine="709"/>
        <w:jc w:val="both"/>
      </w:pPr>
      <w:r>
        <w:rPr>
          <w:rFonts w:ascii="Times New Roman" w:hAnsi="Times New Roman"/>
          <w:b w:val="0"/>
          <w:color w:val="000000"/>
          <w:sz w:val="28"/>
        </w:rPr>
        <w:t>Сформулирована проблема обоснованного выбора открытого проекта с учётом рисков информационной безопасности и внедрения бэкдоров. Для рекомендации требуется связывать технические находки со сведениями о принятии изменений, сборке, выпуске и сопровождении.</w:t>
      </w:r>
    </w:p>
    <w:p>
      <w:pPr>
        <w:keepNext/>
        <w:keepLines w:val="0"/>
        <w:pageBreakBefore w:val="0"/>
        <w:widowControl/>
        <w:spacing w:line="360" w:lineRule="auto" w:before="0" w:after="0"/>
        <w:ind w:firstLine="709"/>
        <w:jc w:val="both"/>
      </w:pPr>
      <w:r>
        <w:rPr>
          <w:rFonts w:ascii="Times New Roman" w:hAnsi="Times New Roman"/>
          <w:b w:val="0"/>
          <w:color w:val="000000"/>
          <w:sz w:val="28"/>
        </w:rPr>
        <w:t>По документации сопоставлены девять объектов из семи семейств решений по одиннадцати критериям. Из 99 оценок получены 51 «Да», 1 «Нет» и 47 «Не установлено». Матрица отражает подтверждённые возможности выбранных средств; статус «Не установлено» указывает на недостаток подтверждений в изученном корпусе документации.</w:t>
      </w:r>
    </w:p>
    <w:p>
      <w:pPr>
        <w:keepNext/>
        <w:keepLines w:val="0"/>
        <w:pageBreakBefore w:val="0"/>
        <w:widowControl/>
        <w:spacing w:line="360" w:lineRule="auto" w:before="0" w:after="0"/>
        <w:ind w:firstLine="709"/>
        <w:jc w:val="both"/>
      </w:pPr>
      <w:r>
        <w:rPr>
          <w:rFonts w:ascii="Times New Roman" w:hAnsi="Times New Roman"/>
          <w:b w:val="0"/>
          <w:color w:val="000000"/>
          <w:sz w:val="28"/>
        </w:rPr>
        <w:t>Четыре близких исследования обосновывают совместное рассмотрение зависимостей и сопровождающих и осторожную интерпретацию процессных показателей. Сформулированы шесть требований: указание объекта анализа, сбор доступных сведений, формирование рекомендации, объяснение результата, учёт недоступных данных и понятное представление.</w:t>
      </w:r>
    </w:p>
    <w:p>
      <w:pPr>
        <w:keepNext w:val="0"/>
        <w:keepLines/>
        <w:pageBreakBefore w:val="0"/>
        <w:widowControl/>
        <w:spacing w:line="360" w:lineRule="auto" w:before="0" w:after="0"/>
        <w:ind w:firstLine="709"/>
        <w:jc w:val="both"/>
      </w:pPr>
      <w:r>
        <w:rPr>
          <w:rFonts w:ascii="Times New Roman" w:hAnsi="Times New Roman"/>
          <w:b w:val="0"/>
          <w:color w:val="000000"/>
          <w:sz w:val="28"/>
        </w:rPr>
        <w:t>Дальнейшая задача — разработать систему анализа процессов разработки открытого проекта с рекомендацией об использовании и пояснением оснований. Для проверки полученные данные будут сопоставлены с источниками, а рекомендации — с заданными правилами. Результат должен помочь пользователю определить существенные обстоятельства выбора и необходимые действия перед внедрением компонента.</w:t>
      </w:r>
    </w:p>
    <w:p>
      <w:pPr>
        <w:pStyle w:val="Heading1"/>
        <w:keepNext/>
        <w:keepLines/>
        <w:pageBreakBefore/>
        <w:widowControl/>
        <w:spacing w:before="0" w:line="360" w:lineRule="auto" w:after="280"/>
        <w:ind w:firstLine="0"/>
        <w:jc w:val="center"/>
      </w:pPr>
      <w:bookmarkStart w:id="7" w:name="_toc_sources"/>
      <w:r>
        <w:rPr>
          <w:rFonts w:ascii="Times New Roman" w:hAnsi="Times New Roman"/>
          <w:b/>
          <w:color w:val="000000"/>
          <w:sz w:val="28"/>
        </w:rPr>
        <w:t>СПИСОК ИСПОЛЬЗОВАННЫХ ИСТОЧНИКОВ</w:t>
      </w:r>
      <w:bookmarkEnd w:id="7"/>
    </w:p>
    <w:p>
      <w:pPr>
        <w:keepNext w:val="0"/>
        <w:keepLines/>
        <w:pageBreakBefore w:val="0"/>
        <w:widowControl/>
        <w:spacing w:line="360" w:lineRule="auto" w:before="0" w:after="0"/>
        <w:ind w:firstLine="709"/>
        <w:jc w:val="both"/>
      </w:pPr>
      <w:r>
        <w:rPr>
          <w:rFonts w:ascii="Times New Roman" w:hAnsi="Times New Roman"/>
          <w:b w:val="0"/>
          <w:color w:val="000000"/>
          <w:sz w:val="28"/>
        </w:rPr>
        <w:t>1. Souppaya M., Scarfone K., Dodson D. Secure Software Development Framework (SSDF) Version 1.1: Recommendations for Mitigating the Risk of Software Vulnerabilities. NIST SP 800-218. 2022. DOI: 10.6028/NIST.SP.800-218. — URL: https://csrc.nist.gov/pubs/sp/800/218/final (дата обращения: 09.10.2026).</w:t>
      </w:r>
    </w:p>
    <w:p>
      <w:pPr>
        <w:keepNext w:val="0"/>
        <w:keepLines/>
        <w:pageBreakBefore w:val="0"/>
        <w:widowControl/>
        <w:spacing w:line="360" w:lineRule="auto" w:before="0" w:after="0"/>
        <w:ind w:firstLine="709"/>
        <w:jc w:val="both"/>
      </w:pPr>
      <w:r>
        <w:rPr>
          <w:rFonts w:ascii="Times New Roman" w:hAnsi="Times New Roman"/>
          <w:b w:val="0"/>
          <w:color w:val="000000"/>
          <w:sz w:val="28"/>
        </w:rPr>
        <w:t>2. OWASP. Software Component Verification Standard version 1.0. Preface. — URL: https://scvs.owasp.org/scvs/preface/ (дата обращения: 09.10.2026).</w:t>
      </w:r>
    </w:p>
    <w:p>
      <w:pPr>
        <w:keepNext w:val="0"/>
        <w:keepLines/>
        <w:pageBreakBefore w:val="0"/>
        <w:widowControl/>
        <w:spacing w:line="360" w:lineRule="auto" w:before="0" w:after="0"/>
        <w:ind w:firstLine="709"/>
        <w:jc w:val="both"/>
      </w:pPr>
      <w:r>
        <w:rPr>
          <w:rFonts w:ascii="Times New Roman" w:hAnsi="Times New Roman"/>
          <w:b w:val="0"/>
          <w:color w:val="000000"/>
          <w:sz w:val="28"/>
        </w:rPr>
        <w:t>3. Zimmermann M., Staicu C.-A., Tenny C., Pradel M. Small World with High Risks: A Study of Security Threats in the npm Ecosystem. USENIX Security, 2019. P. 995–1010. — URL: https://www.usenix.org/system/files/sec19-zimmermann.pdf (дата обращения: 09.10.2026).</w:t>
      </w:r>
    </w:p>
    <w:p>
      <w:pPr>
        <w:keepNext w:val="0"/>
        <w:keepLines/>
        <w:pageBreakBefore w:val="0"/>
        <w:widowControl/>
        <w:spacing w:line="360" w:lineRule="auto" w:before="0" w:after="0"/>
        <w:ind w:firstLine="709"/>
        <w:jc w:val="both"/>
      </w:pPr>
      <w:r>
        <w:rPr>
          <w:rFonts w:ascii="Times New Roman" w:hAnsi="Times New Roman"/>
          <w:b w:val="0"/>
          <w:color w:val="000000"/>
          <w:sz w:val="28"/>
        </w:rPr>
        <w:t>4. Ohm M., Plate H., Sykosch A., Meier M. Backstabber’s Knife Collection: A Review of Open Source Software Supply Chain Attacks. DIMVA, 2020. Preprint arXiv:2005.09535v1. — URL: https://arxiv.org/abs/2005.09535v1 (дата обращения: 11.10.2026).</w:t>
      </w:r>
    </w:p>
    <w:p>
      <w:pPr>
        <w:keepNext w:val="0"/>
        <w:keepLines/>
        <w:pageBreakBefore w:val="0"/>
        <w:widowControl/>
        <w:spacing w:line="360" w:lineRule="auto" w:before="0" w:after="0"/>
        <w:ind w:firstLine="709"/>
        <w:jc w:val="both"/>
      </w:pPr>
      <w:r>
        <w:rPr>
          <w:rFonts w:ascii="Times New Roman" w:hAnsi="Times New Roman"/>
          <w:b w:val="0"/>
          <w:color w:val="000000"/>
          <w:sz w:val="28"/>
        </w:rPr>
        <w:t>5. SLSA. Supply chain threats. Version 1.2. — URL: https://slsa.dev/spec/v1.2/threats-overview (дата обращения: 08.10.2026).</w:t>
      </w:r>
    </w:p>
    <w:p>
      <w:pPr>
        <w:keepNext w:val="0"/>
        <w:keepLines/>
        <w:pageBreakBefore w:val="0"/>
        <w:widowControl/>
        <w:spacing w:line="360" w:lineRule="auto" w:before="0" w:after="0"/>
        <w:ind w:firstLine="709"/>
        <w:jc w:val="both"/>
      </w:pPr>
      <w:r>
        <w:rPr>
          <w:rFonts w:ascii="Times New Roman" w:hAnsi="Times New Roman"/>
          <w:b w:val="0"/>
          <w:color w:val="000000"/>
          <w:sz w:val="28"/>
        </w:rPr>
        <w:t>6. Freund A. Backdoor in upstream xz/liblzma leading to ssh server compromise // oss-security. 29.03.2024. — URL: https://www.openwall.com/lists/oss-security/2024/03/29/4 (дата обращения: 10.10.2026).</w:t>
      </w:r>
    </w:p>
    <w:p>
      <w:pPr>
        <w:keepNext w:val="0"/>
        <w:keepLines/>
        <w:pageBreakBefore w:val="0"/>
        <w:widowControl/>
        <w:spacing w:line="360" w:lineRule="auto" w:before="0" w:after="0"/>
        <w:ind w:firstLine="709"/>
        <w:jc w:val="both"/>
      </w:pPr>
      <w:r>
        <w:rPr>
          <w:rFonts w:ascii="Times New Roman" w:hAnsi="Times New Roman"/>
          <w:b w:val="0"/>
          <w:color w:val="000000"/>
          <w:sz w:val="28"/>
        </w:rPr>
        <w:t>7. SLSA. SLSA specification. Version 1.2. — URL: https://slsa.dev/spec/v1.2/ (дата обращения: 08.10.2026).</w:t>
      </w:r>
    </w:p>
    <w:p>
      <w:pPr>
        <w:keepNext w:val="0"/>
        <w:keepLines/>
        <w:pageBreakBefore w:val="0"/>
        <w:widowControl/>
        <w:spacing w:line="360" w:lineRule="auto" w:before="0" w:after="0"/>
        <w:ind w:firstLine="709"/>
        <w:jc w:val="both"/>
      </w:pPr>
      <w:r>
        <w:rPr>
          <w:rFonts w:ascii="Times New Roman" w:hAnsi="Times New Roman"/>
          <w:b w:val="0"/>
          <w:color w:val="000000"/>
          <w:sz w:val="28"/>
        </w:rPr>
        <w:t>8. OWASP. Software Component Verification Standard. V1 Inventory Requirements. — URL: https://scvs.owasp.org/scvs/v1-inventory/ (дата обращения: 09.10.2026).</w:t>
      </w:r>
    </w:p>
    <w:p>
      <w:pPr>
        <w:keepNext w:val="0"/>
        <w:keepLines/>
        <w:pageBreakBefore w:val="0"/>
        <w:widowControl/>
        <w:spacing w:line="360" w:lineRule="auto" w:before="0" w:after="0"/>
        <w:ind w:firstLine="709"/>
        <w:jc w:val="both"/>
      </w:pPr>
      <w:r>
        <w:rPr>
          <w:rFonts w:ascii="Times New Roman" w:hAnsi="Times New Roman"/>
          <w:b w:val="0"/>
          <w:color w:val="000000"/>
          <w:sz w:val="28"/>
        </w:rPr>
        <w:t>9. CHAOSS. Practitioner Guide: Getting Started with Contributor Sustainability. — URL: https://www.chaoss.community/practitioner-guide-contributor-sustainability/ (дата обращения: 08.10.2026).</w:t>
      </w:r>
    </w:p>
    <w:p>
      <w:pPr>
        <w:keepNext w:val="0"/>
        <w:keepLines/>
        <w:pageBreakBefore w:val="0"/>
        <w:widowControl/>
        <w:spacing w:line="360" w:lineRule="auto" w:before="0" w:after="0"/>
        <w:ind w:firstLine="709"/>
        <w:jc w:val="both"/>
      </w:pPr>
      <w:r>
        <w:rPr>
          <w:rFonts w:ascii="Times New Roman" w:hAnsi="Times New Roman"/>
          <w:b w:val="0"/>
          <w:color w:val="000000"/>
          <w:sz w:val="28"/>
        </w:rPr>
        <w:t>10. OpenSSF. Scorecard Check Documentation. — URL: https://github.com/ossf/scorecard/blob/main/docs/checks.md (дата обращения: 19.10.2026).</w:t>
      </w:r>
    </w:p>
    <w:p>
      <w:pPr>
        <w:keepNext w:val="0"/>
        <w:keepLines/>
        <w:pageBreakBefore w:val="0"/>
        <w:widowControl/>
        <w:spacing w:line="360" w:lineRule="auto" w:before="0" w:after="0"/>
        <w:ind w:firstLine="709"/>
        <w:jc w:val="both"/>
      </w:pPr>
      <w:r>
        <w:rPr>
          <w:rFonts w:ascii="Times New Roman" w:hAnsi="Times New Roman"/>
          <w:b w:val="0"/>
          <w:color w:val="000000"/>
          <w:sz w:val="28"/>
        </w:rPr>
        <w:t>11. CHAOSS. Metric Organizational Diversity. — URL: https://www.chaoss.community/kb/metric-organizational-diversity/ (дата обращения: 08.10.2026).</w:t>
      </w:r>
    </w:p>
    <w:p>
      <w:pPr>
        <w:keepNext w:val="0"/>
        <w:keepLines/>
        <w:pageBreakBefore w:val="0"/>
        <w:widowControl/>
        <w:spacing w:line="360" w:lineRule="auto" w:before="0" w:after="0"/>
        <w:ind w:firstLine="709"/>
        <w:jc w:val="both"/>
      </w:pPr>
      <w:r>
        <w:rPr>
          <w:rFonts w:ascii="Times New Roman" w:hAnsi="Times New Roman"/>
          <w:b w:val="0"/>
          <w:color w:val="000000"/>
          <w:sz w:val="28"/>
        </w:rPr>
        <w:t>12. CHAOSS. Practitioner Guide Funding Impact Measurement. — URL: https://www.chaoss.community/practitioner-guide-funding-impact/ (дата обращения: 09.10.2026).</w:t>
      </w:r>
    </w:p>
    <w:p>
      <w:pPr>
        <w:keepNext w:val="0"/>
        <w:keepLines/>
        <w:pageBreakBefore w:val="0"/>
        <w:widowControl/>
        <w:spacing w:line="360" w:lineRule="auto" w:before="0" w:after="0"/>
        <w:ind w:firstLine="709"/>
        <w:jc w:val="both"/>
      </w:pPr>
      <w:r>
        <w:rPr>
          <w:rFonts w:ascii="Times New Roman" w:hAnsi="Times New Roman"/>
          <w:b w:val="0"/>
          <w:color w:val="000000"/>
          <w:sz w:val="28"/>
        </w:rPr>
        <w:t>13. Imtiaz N., Thorne S., Williams L. A Comparative Study of Vulnerability Reporting by Software Composition Analysis Tools. 2021. arXiv:2108.12078. — URL: https://arxiv.org/abs/2108.12078 (дата обращения: 09.10.2026).</w:t>
      </w:r>
    </w:p>
    <w:p>
      <w:pPr>
        <w:keepNext w:val="0"/>
        <w:keepLines/>
        <w:pageBreakBefore w:val="0"/>
        <w:widowControl/>
        <w:spacing w:line="360" w:lineRule="auto" w:before="0" w:after="0"/>
        <w:ind w:firstLine="709"/>
        <w:jc w:val="both"/>
      </w:pPr>
      <w:r>
        <w:rPr>
          <w:rFonts w:ascii="Times New Roman" w:hAnsi="Times New Roman"/>
          <w:b w:val="0"/>
          <w:color w:val="000000"/>
          <w:sz w:val="28"/>
        </w:rPr>
        <w:t>14. CodeScoring. Функциональные характеристики платформы. — URL: https://docs.codescoring.ru/functionality/ (дата обращения: 13.10.2026).</w:t>
      </w:r>
    </w:p>
    <w:p>
      <w:pPr>
        <w:keepNext w:val="0"/>
        <w:keepLines/>
        <w:pageBreakBefore w:val="0"/>
        <w:widowControl/>
        <w:spacing w:line="360" w:lineRule="auto" w:before="0" w:after="0"/>
        <w:ind w:firstLine="709"/>
        <w:jc w:val="both"/>
      </w:pPr>
      <w:r>
        <w:rPr>
          <w:rFonts w:ascii="Times New Roman" w:hAnsi="Times New Roman"/>
          <w:b w:val="0"/>
          <w:color w:val="000000"/>
          <w:sz w:val="28"/>
        </w:rPr>
        <w:t>15. CodeScoring. CodeScoring.OSA. — URL: https://docs.codescoring.ru/en/user-guide/osa/index (дата обращения: 15.10.2026).</w:t>
      </w:r>
    </w:p>
    <w:p>
      <w:pPr>
        <w:keepNext w:val="0"/>
        <w:keepLines/>
        <w:pageBreakBefore w:val="0"/>
        <w:widowControl/>
        <w:spacing w:line="360" w:lineRule="auto" w:before="0" w:after="0"/>
        <w:ind w:firstLine="709"/>
        <w:jc w:val="both"/>
      </w:pPr>
      <w:r>
        <w:rPr>
          <w:rFonts w:ascii="Times New Roman" w:hAnsi="Times New Roman"/>
          <w:b w:val="0"/>
          <w:color w:val="000000"/>
          <w:sz w:val="28"/>
        </w:rPr>
        <w:t>16. CodeScoring. Просмотр результатов TQI анализа. — URL: https://docs.codescoring.ru/user-guide/tqi/viewing-results (дата обращения: 18.10.2026).</w:t>
      </w:r>
    </w:p>
    <w:p>
      <w:pPr>
        <w:keepNext w:val="0"/>
        <w:keepLines/>
        <w:pageBreakBefore w:val="0"/>
        <w:widowControl/>
        <w:spacing w:line="360" w:lineRule="auto" w:before="0" w:after="0"/>
        <w:ind w:firstLine="709"/>
        <w:jc w:val="both"/>
      </w:pPr>
      <w:r>
        <w:rPr>
          <w:rFonts w:ascii="Times New Roman" w:hAnsi="Times New Roman"/>
          <w:b w:val="0"/>
          <w:color w:val="000000"/>
          <w:sz w:val="28"/>
        </w:rPr>
        <w:t>17. CodeScoring. Построение профилей авторов. — URL: https://docs.codescoring.ru/user-guide/tqi/authors (дата обращения: 19.10.2026).</w:t>
      </w:r>
    </w:p>
    <w:p>
      <w:pPr>
        <w:keepNext w:val="0"/>
        <w:keepLines/>
        <w:pageBreakBefore w:val="0"/>
        <w:widowControl/>
        <w:spacing w:line="360" w:lineRule="auto" w:before="0" w:after="0"/>
        <w:ind w:firstLine="709"/>
        <w:jc w:val="both"/>
      </w:pPr>
      <w:r>
        <w:rPr>
          <w:rFonts w:ascii="Times New Roman" w:hAnsi="Times New Roman"/>
          <w:b w:val="0"/>
          <w:color w:val="000000"/>
          <w:sz w:val="28"/>
        </w:rPr>
        <w:t>18. CodeScoring. Требования к установке. — URL: https://docs.codescoring.ru/admin-guide/server-requirements (дата обращения: 18.10.2026).</w:t>
      </w:r>
    </w:p>
    <w:p>
      <w:pPr>
        <w:keepNext w:val="0"/>
        <w:keepLines/>
        <w:pageBreakBefore w:val="0"/>
        <w:widowControl/>
        <w:spacing w:line="360" w:lineRule="auto" w:before="0" w:after="0"/>
        <w:ind w:firstLine="709"/>
        <w:jc w:val="both"/>
      </w:pPr>
      <w:r>
        <w:rPr>
          <w:rFonts w:ascii="Times New Roman" w:hAnsi="Times New Roman"/>
          <w:b w:val="0"/>
          <w:color w:val="000000"/>
          <w:sz w:val="28"/>
        </w:rPr>
        <w:t>19. Snyk. Snyk Open Source. — URL: https://docs.snyk.io/scan-fix-and-prevent/scan-with-snyk/snyk-open-source (дата обращения: 18.10.2026).</w:t>
      </w:r>
    </w:p>
    <w:p>
      <w:pPr>
        <w:keepNext w:val="0"/>
        <w:keepLines/>
        <w:pageBreakBefore w:val="0"/>
        <w:widowControl/>
        <w:spacing w:line="360" w:lineRule="auto" w:before="0" w:after="0"/>
        <w:ind w:firstLine="709"/>
        <w:jc w:val="both"/>
      </w:pPr>
      <w:r>
        <w:rPr>
          <w:rFonts w:ascii="Times New Roman" w:hAnsi="Times New Roman"/>
          <w:b w:val="0"/>
          <w:color w:val="000000"/>
          <w:sz w:val="28"/>
        </w:rPr>
        <w:t>20. Snyk. Malicious packages. — URL: https://docs.snyk.io/scan-fix-and-prevent/fix/prioritize-issues-for-fixing/malicious-packages (дата обращения: 20.10.2026).</w:t>
      </w:r>
    </w:p>
    <w:p>
      <w:pPr>
        <w:keepNext w:val="0"/>
        <w:keepLines/>
        <w:pageBreakBefore w:val="0"/>
        <w:widowControl/>
        <w:spacing w:line="360" w:lineRule="auto" w:before="0" w:after="0"/>
        <w:ind w:firstLine="709"/>
        <w:jc w:val="both"/>
      </w:pPr>
      <w:r>
        <w:rPr>
          <w:rFonts w:ascii="Times New Roman" w:hAnsi="Times New Roman"/>
          <w:b w:val="0"/>
          <w:color w:val="000000"/>
          <w:sz w:val="28"/>
        </w:rPr>
        <w:t>21. Snyk. Open Source Security Management. — URL: https://snyk.io/product/open-source-security-management/ (дата обращения: 13.10.2026).</w:t>
      </w:r>
    </w:p>
    <w:p>
      <w:pPr>
        <w:keepNext w:val="0"/>
        <w:keepLines/>
        <w:pageBreakBefore w:val="0"/>
        <w:widowControl/>
        <w:spacing w:line="360" w:lineRule="auto" w:before="0" w:after="0"/>
        <w:ind w:firstLine="709"/>
        <w:jc w:val="both"/>
      </w:pPr>
      <w:r>
        <w:rPr>
          <w:rFonts w:ascii="Times New Roman" w:hAnsi="Times New Roman"/>
          <w:b w:val="0"/>
          <w:color w:val="000000"/>
          <w:sz w:val="28"/>
        </w:rPr>
        <w:t>22. Sonatype. Lifecycle Analysis. — URL: https://help.sonatype.com/en/analysis.html (дата обращения: 18.10.2026).</w:t>
      </w:r>
    </w:p>
    <w:p>
      <w:pPr>
        <w:keepNext w:val="0"/>
        <w:keepLines/>
        <w:pageBreakBefore w:val="0"/>
        <w:widowControl/>
        <w:spacing w:line="360" w:lineRule="auto" w:before="0" w:after="0"/>
        <w:ind w:firstLine="709"/>
        <w:jc w:val="both"/>
      </w:pPr>
      <w:r>
        <w:rPr>
          <w:rFonts w:ascii="Times New Roman" w:hAnsi="Times New Roman"/>
          <w:b w:val="0"/>
          <w:color w:val="000000"/>
          <w:sz w:val="28"/>
        </w:rPr>
        <w:t>23. Sonatype. Policy Actions. — URL: https://help.sonatype.com/en/policy-actions.html (дата обращения: 14.10.2026).</w:t>
      </w:r>
    </w:p>
    <w:p>
      <w:pPr>
        <w:keepNext w:val="0"/>
        <w:keepLines/>
        <w:pageBreakBefore w:val="0"/>
        <w:widowControl/>
        <w:spacing w:line="360" w:lineRule="auto" w:before="0" w:after="0"/>
        <w:ind w:firstLine="709"/>
        <w:jc w:val="both"/>
      </w:pPr>
      <w:r>
        <w:rPr>
          <w:rFonts w:ascii="Times New Roman" w:hAnsi="Times New Roman"/>
          <w:b w:val="0"/>
          <w:color w:val="000000"/>
          <w:sz w:val="28"/>
        </w:rPr>
        <w:t>24. Sonatype. Policy Evaluation in Source Control Management. — URL: https://help.sonatype.com/en/policy-evaluation-in-source-control-management.html (дата обращения: 20.10.2026).</w:t>
      </w:r>
    </w:p>
    <w:p>
      <w:pPr>
        <w:keepNext w:val="0"/>
        <w:keepLines/>
        <w:pageBreakBefore w:val="0"/>
        <w:widowControl/>
        <w:spacing w:line="360" w:lineRule="auto" w:before="0" w:after="0"/>
        <w:ind w:firstLine="709"/>
        <w:jc w:val="both"/>
      </w:pPr>
      <w:r>
        <w:rPr>
          <w:rFonts w:ascii="Times New Roman" w:hAnsi="Times New Roman"/>
          <w:b w:val="0"/>
          <w:color w:val="000000"/>
          <w:sz w:val="28"/>
        </w:rPr>
        <w:t>25. Sonatype. Security Policies. — URL: https://help.sonatype.com/en/security-policies.html (дата обращения: 20.10.2026).</w:t>
      </w:r>
    </w:p>
    <w:p>
      <w:pPr>
        <w:keepNext w:val="0"/>
        <w:keepLines/>
        <w:pageBreakBefore w:val="0"/>
        <w:widowControl/>
        <w:spacing w:line="360" w:lineRule="auto" w:before="0" w:after="0"/>
        <w:ind w:firstLine="709"/>
        <w:jc w:val="both"/>
      </w:pPr>
      <w:r>
        <w:rPr>
          <w:rFonts w:ascii="Times New Roman" w:hAnsi="Times New Roman"/>
          <w:b w:val="0"/>
          <w:color w:val="000000"/>
          <w:sz w:val="28"/>
        </w:rPr>
        <w:t>26. Socket. Socket FAQ. — URL: https://docs.socket.dev/docs/faq (дата обращения: 17.10.2026).</w:t>
      </w:r>
    </w:p>
    <w:p>
      <w:pPr>
        <w:keepNext w:val="0"/>
        <w:keepLines/>
        <w:pageBreakBefore w:val="0"/>
        <w:widowControl/>
        <w:spacing w:line="360" w:lineRule="auto" w:before="0" w:after="0"/>
        <w:ind w:firstLine="709"/>
        <w:jc w:val="both"/>
      </w:pPr>
      <w:r>
        <w:rPr>
          <w:rFonts w:ascii="Times New Roman" w:hAnsi="Times New Roman"/>
          <w:b w:val="0"/>
          <w:color w:val="000000"/>
          <w:sz w:val="28"/>
        </w:rPr>
        <w:t>27. Socket. Supply Chain Risk. — URL: https://docs.socket.dev/docs/supply-chain-risk (дата обращения: 13.10.2026).</w:t>
      </w:r>
    </w:p>
    <w:p>
      <w:pPr>
        <w:keepNext w:val="0"/>
        <w:keepLines/>
        <w:pageBreakBefore w:val="0"/>
        <w:widowControl/>
        <w:spacing w:line="360" w:lineRule="auto" w:before="0" w:after="0"/>
        <w:ind w:firstLine="709"/>
        <w:jc w:val="both"/>
      </w:pPr>
      <w:r>
        <w:rPr>
          <w:rFonts w:ascii="Times New Roman" w:hAnsi="Times New Roman"/>
          <w:b w:val="0"/>
          <w:color w:val="000000"/>
          <w:sz w:val="28"/>
        </w:rPr>
        <w:t>28. Socket. Guide to Socket for GitHub. — URL: https://docs.socket.dev/docs/socket-for-github (дата обращения: 18.10.2026).</w:t>
      </w:r>
    </w:p>
    <w:p>
      <w:pPr>
        <w:keepNext w:val="0"/>
        <w:keepLines/>
        <w:pageBreakBefore w:val="0"/>
        <w:widowControl/>
        <w:spacing w:line="360" w:lineRule="auto" w:before="0" w:after="0"/>
        <w:ind w:firstLine="709"/>
        <w:jc w:val="both"/>
      </w:pPr>
      <w:r>
        <w:rPr>
          <w:rFonts w:ascii="Times New Roman" w:hAnsi="Times New Roman"/>
          <w:b w:val="0"/>
          <w:color w:val="000000"/>
          <w:sz w:val="28"/>
        </w:rPr>
        <w:t>29. Socket — vulnerabilities. — URL: https://docs.socket.dev/docs/vulnerability (дата обращения: 20.10.2026).</w:t>
      </w:r>
    </w:p>
    <w:p>
      <w:pPr>
        <w:keepNext w:val="0"/>
        <w:keepLines/>
        <w:pageBreakBefore w:val="0"/>
        <w:widowControl/>
        <w:spacing w:line="360" w:lineRule="auto" w:before="0" w:after="0"/>
        <w:ind w:firstLine="709"/>
        <w:jc w:val="both"/>
      </w:pPr>
      <w:r>
        <w:rPr>
          <w:rFonts w:ascii="Times New Roman" w:hAnsi="Times New Roman"/>
          <w:b w:val="0"/>
          <w:color w:val="000000"/>
          <w:sz w:val="28"/>
        </w:rPr>
        <w:t>30. Socket — remediation. — URL: https://docs.socket.dev/docs/socket-fix (дата обращения: 20.10.2026).</w:t>
      </w:r>
    </w:p>
    <w:p>
      <w:pPr>
        <w:keepNext w:val="0"/>
        <w:keepLines/>
        <w:pageBreakBefore w:val="0"/>
        <w:widowControl/>
        <w:spacing w:line="360" w:lineRule="auto" w:before="0" w:after="0"/>
        <w:ind w:firstLine="709"/>
        <w:jc w:val="both"/>
      </w:pPr>
      <w:r>
        <w:rPr>
          <w:rFonts w:ascii="Times New Roman" w:hAnsi="Times New Roman"/>
          <w:b w:val="0"/>
          <w:color w:val="000000"/>
          <w:sz w:val="28"/>
        </w:rPr>
        <w:t>31. GitHub. Supply chain security. — URL: https://docs.github.com/en/code-security/concepts/supply-chain-security/supply-chain-security (дата обращения: 18.10.2026).</w:t>
      </w:r>
    </w:p>
    <w:p>
      <w:pPr>
        <w:keepNext w:val="0"/>
        <w:keepLines/>
        <w:pageBreakBefore w:val="0"/>
        <w:widowControl/>
        <w:spacing w:line="360" w:lineRule="auto" w:before="0" w:after="0"/>
        <w:ind w:firstLine="709"/>
        <w:jc w:val="both"/>
      </w:pPr>
      <w:r>
        <w:rPr>
          <w:rFonts w:ascii="Times New Roman" w:hAnsi="Times New Roman"/>
          <w:b w:val="0"/>
          <w:color w:val="000000"/>
          <w:sz w:val="28"/>
        </w:rPr>
        <w:t>32. GitHub. Dependabot malware alerts. — URL: https://docs.github.com/en/code-security/concepts/supply-chain-security/malware-alerts (дата обращения: 19.10.2026).</w:t>
      </w:r>
    </w:p>
    <w:p>
      <w:pPr>
        <w:keepNext w:val="0"/>
        <w:keepLines/>
        <w:pageBreakBefore w:val="0"/>
        <w:widowControl/>
        <w:spacing w:line="360" w:lineRule="auto" w:before="0" w:after="0"/>
        <w:ind w:firstLine="709"/>
        <w:jc w:val="both"/>
      </w:pPr>
      <w:r>
        <w:rPr>
          <w:rFonts w:ascii="Times New Roman" w:hAnsi="Times New Roman"/>
          <w:b w:val="0"/>
          <w:color w:val="000000"/>
          <w:sz w:val="28"/>
        </w:rPr>
        <w:t>33. GitHub. Code scanning with CodeQL. — URL: https://docs.github.com/code-security/code-scanning/introduction-to-code-scanning/about-code-scanning-with-codeql (дата обращения: 15.10.2026).</w:t>
      </w:r>
    </w:p>
    <w:p>
      <w:pPr>
        <w:keepNext w:val="0"/>
        <w:keepLines/>
        <w:pageBreakBefore w:val="0"/>
        <w:widowControl/>
        <w:spacing w:line="360" w:lineRule="auto" w:before="0" w:after="0"/>
        <w:ind w:firstLine="709"/>
        <w:jc w:val="both"/>
      </w:pPr>
      <w:r>
        <w:rPr>
          <w:rFonts w:ascii="Times New Roman" w:hAnsi="Times New Roman"/>
          <w:b w:val="0"/>
          <w:color w:val="000000"/>
          <w:sz w:val="28"/>
        </w:rPr>
        <w:t>34. GitHub. Code scanning alerts. — URL: https://docs.github.com/en/code-security/concepts/code-scanning/code-scanning-alerts (дата обращения: 20.10.2026).</w:t>
      </w:r>
    </w:p>
    <w:p>
      <w:pPr>
        <w:keepNext w:val="0"/>
        <w:keepLines/>
        <w:pageBreakBefore w:val="0"/>
        <w:widowControl/>
        <w:spacing w:line="360" w:lineRule="auto" w:before="0" w:after="0"/>
        <w:ind w:firstLine="709"/>
        <w:jc w:val="both"/>
      </w:pPr>
      <w:r>
        <w:rPr>
          <w:rFonts w:ascii="Times New Roman" w:hAnsi="Times New Roman"/>
          <w:b w:val="0"/>
          <w:color w:val="000000"/>
          <w:sz w:val="28"/>
        </w:rPr>
        <w:t>35. OpenSSF. Scorecard. — URL: https://www.scorecard.dev/ (дата обращения: 15.10.2026).</w:t>
      </w:r>
    </w:p>
    <w:p>
      <w:pPr>
        <w:keepNext w:val="0"/>
        <w:keepLines/>
        <w:pageBreakBefore w:val="0"/>
        <w:widowControl/>
        <w:spacing w:line="360" w:lineRule="auto" w:before="0" w:after="0"/>
        <w:ind w:firstLine="709"/>
        <w:jc w:val="both"/>
      </w:pPr>
      <w:r>
        <w:rPr>
          <w:rFonts w:ascii="Times New Roman" w:hAnsi="Times New Roman"/>
          <w:b w:val="0"/>
          <w:color w:val="000000"/>
          <w:sz w:val="28"/>
        </w:rPr>
        <w:t>36. OpenSSF. Scorecard. Официальный репозиторий проекта. — URL: https://github.com/ossf/scorecard (дата обращения: 14.10.2026).</w:t>
      </w:r>
    </w:p>
    <w:p>
      <w:pPr>
        <w:keepNext w:val="0"/>
        <w:keepLines/>
        <w:pageBreakBefore w:val="0"/>
        <w:widowControl/>
        <w:spacing w:line="360" w:lineRule="auto" w:before="0" w:after="0"/>
        <w:ind w:firstLine="709"/>
        <w:jc w:val="both"/>
      </w:pPr>
      <w:r>
        <w:rPr>
          <w:rFonts w:ascii="Times New Roman" w:hAnsi="Times New Roman"/>
          <w:b w:val="0"/>
          <w:color w:val="000000"/>
          <w:sz w:val="28"/>
        </w:rPr>
        <w:t>37. OWASP. Dependency-Track. Introduction. Документация ветви 4.14. — URL: https://docs.dependencytrack.org/ (дата обращения: 16.10.2026).</w:t>
      </w:r>
    </w:p>
    <w:p>
      <w:pPr>
        <w:keepNext w:val="0"/>
        <w:keepLines/>
        <w:pageBreakBefore w:val="0"/>
        <w:widowControl/>
        <w:spacing w:line="360" w:lineRule="auto" w:before="0" w:after="0"/>
        <w:ind w:firstLine="709"/>
        <w:jc w:val="both"/>
      </w:pPr>
      <w:r>
        <w:rPr>
          <w:rFonts w:ascii="Times New Roman" w:hAnsi="Times New Roman"/>
          <w:b w:val="0"/>
          <w:color w:val="000000"/>
          <w:sz w:val="28"/>
        </w:rPr>
        <w:t>38. OWASP. Dependency-Track. Best Practices. Документация ветви 4.14. — URL: https://docs.dependencytrack.org/best-practices/ (дата обращения: 14.10.2026).</w:t>
      </w:r>
    </w:p>
    <w:p>
      <w:pPr>
        <w:keepNext w:val="0"/>
        <w:keepLines/>
        <w:pageBreakBefore w:val="0"/>
        <w:widowControl/>
        <w:spacing w:line="360" w:lineRule="auto" w:before="0" w:after="0"/>
        <w:ind w:firstLine="709"/>
        <w:jc w:val="both"/>
      </w:pPr>
      <w:r>
        <w:rPr>
          <w:rFonts w:ascii="Times New Roman" w:hAnsi="Times New Roman"/>
          <w:b w:val="0"/>
          <w:color w:val="000000"/>
          <w:sz w:val="28"/>
        </w:rPr>
        <w:t>39. Dependency-Track — Policy Compliance. — URL: https://docs.dependencytrack.org/usage/policy-compliance/ (дата обращения: 19.10.2026).</w:t>
      </w:r>
    </w:p>
    <w:p>
      <w:pPr>
        <w:keepNext w:val="0"/>
        <w:keepLines/>
        <w:pageBreakBefore w:val="0"/>
        <w:widowControl/>
        <w:spacing w:line="360" w:lineRule="auto" w:before="0" w:after="0"/>
        <w:ind w:firstLine="709"/>
        <w:jc w:val="both"/>
      </w:pPr>
      <w:r>
        <w:rPr>
          <w:rFonts w:ascii="Times New Roman" w:hAnsi="Times New Roman"/>
          <w:b w:val="0"/>
          <w:color w:val="000000"/>
          <w:sz w:val="28"/>
        </w:rPr>
        <w:t>40. Dependency-Track. Release v4.6.0: New Policy Conditions. — URL: https://docs.dependencytrack.org/2022/10/11/v4.6.0/ (дата обращения: 20.10.2026).</w:t>
      </w:r>
    </w:p>
    <w:p>
      <w:pPr>
        <w:keepNext w:val="0"/>
        <w:keepLines/>
        <w:pageBreakBefore w:val="0"/>
        <w:widowControl/>
        <w:spacing w:line="360" w:lineRule="auto" w:before="0" w:after="0"/>
        <w:ind w:firstLine="709"/>
        <w:jc w:val="both"/>
      </w:pPr>
      <w:r>
        <w:rPr>
          <w:rFonts w:ascii="Times New Roman" w:hAnsi="Times New Roman"/>
          <w:b w:val="0"/>
          <w:color w:val="000000"/>
          <w:sz w:val="28"/>
        </w:rPr>
        <w:t>41. Dependency-Track. File Formats: Finding Packaging Format. — URL: https://docs.dependencytrack.org/integrations/file-formats/ (дата обращения: 19.10.2026).</w:t>
      </w:r>
    </w:p>
    <w:p>
      <w:pPr>
        <w:keepNext w:val="0"/>
        <w:keepLines/>
        <w:pageBreakBefore w:val="0"/>
        <w:widowControl/>
        <w:spacing w:line="360" w:lineRule="auto" w:before="0" w:after="0"/>
        <w:ind w:firstLine="709"/>
        <w:jc w:val="both"/>
      </w:pPr>
      <w:r>
        <w:rPr>
          <w:rFonts w:ascii="Times New Roman" w:hAnsi="Times New Roman"/>
          <w:b w:val="0"/>
          <w:color w:val="000000"/>
          <w:sz w:val="28"/>
        </w:rPr>
        <w:t>42. CHAOSS. Metric Contributor Absence Factor. — URL: https://www.chaoss.community/kb/metric-contributor-absence-factor/ (дата обращения: 09.10.2026).</w:t>
      </w:r>
    </w:p>
    <w:p>
      <w:pPr>
        <w:keepNext w:val="0"/>
        <w:keepLines/>
        <w:pageBreakBefore w:val="0"/>
        <w:widowControl/>
        <w:spacing w:line="360" w:lineRule="auto" w:before="0" w:after="0"/>
        <w:ind w:firstLine="709"/>
        <w:jc w:val="both"/>
      </w:pPr>
      <w:r>
        <w:rPr>
          <w:rFonts w:ascii="Times New Roman" w:hAnsi="Times New Roman"/>
          <w:b w:val="0"/>
          <w:color w:val="000000"/>
          <w:sz w:val="28"/>
        </w:rPr>
        <w:t>43. Zahan N., Kanakiya P., Hambleton B., Shohan S., Williams L. OpenSSF Scorecard: On the Path Toward Ecosystem-wide Automated Security Metrics. 2023. arXiv:2208.03412v4. DOI: 10.1109/MSEC.2023.3279773. — URL: https://arxiv.org/html/2208.03412v4 (дата обращения: 09.10.2026).</w:t>
      </w:r>
    </w:p>
    <w:p>
      <w:pPr>
        <w:keepNext w:val="0"/>
        <w:keepLines/>
        <w:pageBreakBefore w:val="0"/>
        <w:widowControl/>
        <w:spacing w:line="360" w:lineRule="auto" w:before="0" w:after="0"/>
        <w:ind w:firstLine="709"/>
        <w:jc w:val="both"/>
      </w:pPr>
      <w:r>
        <w:rPr>
          <w:rFonts w:ascii="Times New Roman" w:hAnsi="Times New Roman"/>
          <w:b w:val="0"/>
          <w:color w:val="000000"/>
          <w:sz w:val="28"/>
        </w:rPr>
        <w:t>44. Zahan N., Shohan S., Harris D., Williams L. Do Software Security Practices Yield Fewer Vulnerabilities? 2023. arXiv:2210.14884v2. — URL: https://arxiv.org/html/2210.14884v2 (дата обращения: 11.10.2026).</w:t>
      </w:r>
    </w:p>
    <w:sectPr w:rsidR="00FC693F" w:rsidRPr="0006063C" w:rsidSect="00034616">
      <w:footerReference w:type="default" r:id="rId9"/>
      <w:pgSz w:w="11906" w:h="16838"/>
      <w:pgMar w:top="1134" w:right="850" w:bottom="1134" w:left="1701" w:header="454"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sz w:val="24"/>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0" w:line="360" w:lineRule="auto"/>
      <w:ind w:firstLine="709"/>
      <w:jc w:val="both"/>
    </w:pPr>
    <w:rPr>
      <w:rFonts w:ascii="Times New Roman" w:hAnsi="Times New Roman" w:eastAsia="Times New Roman" w:cs="Times New Roman"/>
      <w:i w:val="0"/>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widowControl/>
      <w:spacing w:before="280" w:after="280" w:line="360" w:lineRule="auto"/>
      <w:ind w:firstLine="709"/>
      <w:jc w:val="left"/>
      <w:outlineLvl w:val="0"/>
    </w:pPr>
    <w:rPr>
      <w:rFonts w:cstheme="majorBidi" w:ascii="Times New Roman" w:hAnsi="Times New Roman" w:eastAsia="Times New Roman" w:cs="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pageBreakBefore w:val="0"/>
      <w:widowControl/>
      <w:spacing w:before="280" w:after="280" w:line="360" w:lineRule="auto"/>
      <w:ind w:firstLine="709"/>
      <w:jc w:val="left"/>
      <w:outlineLvl w:val="1"/>
    </w:pPr>
    <w:rPr>
      <w:rFonts w:cstheme="majorBidi" w:ascii="Times New Roman" w:hAnsi="Times New Roman" w:eastAsia="Times New Roman" w:cs="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pageBreakBefore w:val="0"/>
      <w:widowControl/>
      <w:spacing w:before="280" w:after="280" w:line="360" w:lineRule="auto"/>
      <w:ind w:firstLine="709"/>
      <w:jc w:val="left"/>
      <w:outlineLvl w:val="2"/>
    </w:pPr>
    <w:rPr>
      <w:rFonts w:cstheme="majorBidi" w:ascii="Times New Roman" w:hAnsi="Times New Roman" w:eastAsia="Times New Roman" w:cs="Times New Roman"/>
      <w:b/>
      <w:bCs/>
      <w:i w:val="0"/>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widowControl/>
      <w:spacing w:after="280" w:line="360" w:lineRule="auto" w:before="280"/>
      <w:ind w:firstLine="709"/>
      <w:contextualSpacing/>
      <w:jc w:val="left"/>
    </w:pPr>
    <w:rPr>
      <w:rFonts w:cstheme="majorBidi" w:ascii="Times New Roman" w:hAnsi="Times New Roman" w:eastAsia="Times New Roman" w:cs="Times New Roman"/>
      <w:b/>
      <w:i w:val="0"/>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360" w:lineRule="auto" w:before="0" w:after="0"/>
    </w:pPr>
    <w:rPr>
      <w:rFonts w:ascii="Times New Roman" w:hAnsi="Times New Roman" w:eastAsia="Times New Roman" w:cs="Times New Roman"/>
      <w:b/>
      <w:bCs/>
      <w:color w:val="000000"/>
      <w:sz w:val="2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keepNext w:val="0"/>
      <w:keepLines/>
      <w:tabs>
        <w:tab w:pos="9354" w:val="right" w:leader="dot"/>
      </w:tabs>
      <w:spacing w:line="360" w:lineRule="auto" w:before="0" w:after="0"/>
      <w:ind w:left="0" w:right="454" w:firstLine="0"/>
      <w:jc w:val="left"/>
    </w:pPr>
    <w:rPr>
      <w:rFonts w:ascii="Times New Roman" w:hAnsi="Times New Roman" w:eastAsia="Times New Roman" w:cs="Times New Roman"/>
      <w:b w:val="0"/>
      <w:i w:val="0"/>
      <w:color w:val="000000"/>
      <w:sz w:val="28"/>
    </w:rPr>
  </w:style>
  <w:style w:type="paragraph" w:customStyle="1" w:styleId="TOC2">
    <w:name w:val="TOC 2"/>
    <w:basedOn w:val="Normal"/>
    <w:pPr>
      <w:keepNext w:val="0"/>
      <w:keepLines/>
      <w:tabs>
        <w:tab w:pos="9354" w:val="right" w:leader="dot"/>
      </w:tabs>
      <w:spacing w:line="360" w:lineRule="auto" w:before="0" w:after="0"/>
      <w:ind w:left="283" w:right="454" w:firstLine="0"/>
      <w:jc w:val="left"/>
    </w:pPr>
    <w:rPr>
      <w:rFonts w:ascii="Times New Roman" w:hAnsi="Times New Roman" w:eastAsia="Times New Roman" w:cs="Times New Roman"/>
      <w:b w:val="0"/>
      <w:i w:val="0"/>
      <w:color w:val="000000"/>
      <w:sz w:val="28"/>
    </w:rPr>
  </w:style>
  <w:style w:type="paragraph" w:customStyle="1" w:styleId="ContentsHeading">
    <w:name w:val="Contents Heading"/>
    <w:basedOn w:val="Normal"/>
    <w:pPr>
      <w:keepNext/>
      <w:spacing w:before="0" w:after="280"/>
      <w:ind w:firstLine="0"/>
      <w:jc w:val="center"/>
    </w:pPr>
    <w:rPr>
      <w:rFonts w:ascii="Times New Roman" w:hAnsi="Times New Roman" w:eastAsia="Times New Roman" w:cs="Times New Roman"/>
      <w:b/>
      <w:color w:val="000000"/>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Исследовательский раздел</dc:title>
  <dc:subject>Исследовательская глава по результатам аналитического сравнения</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