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6EF2" w:rsidRDefault="00000000">
      <w:pPr>
        <w:spacing w:after="94" w:line="249" w:lineRule="auto"/>
        <w:ind w:left="-5" w:hanging="10"/>
      </w:pPr>
      <w:r>
        <w:rPr>
          <w:sz w:val="24"/>
          <w:highlight w:val="yellow"/>
        </w:rPr>
        <w:t>AUTHOR WORKING NOTE — DELETE THIS PARAGRAPH BEFORE SUBMISSION. Two items are still open and are highlighted in yellow below: (1) the library-preparation description, rewritten from Plasmidsaurus’s technical documentation and awaiting confirmation; (2) the three 8-10-2 read-count cells in Table 1, which cannot be filled until the discrepancy with SRR39379360 is resolved. Everything else is final.</w:t>
      </w:r>
    </w:p>
    <w:p w:rsidR="00A06EF2" w:rsidRDefault="00000000">
      <w:pPr>
        <w:spacing w:after="94" w:line="249" w:lineRule="auto"/>
        <w:ind w:left="-5" w:hanging="10"/>
      </w:pPr>
      <w:r>
        <w:rPr>
          <w:sz w:val="24"/>
        </w:rPr>
        <w:t xml:space="preserve">Complete genome sequences of three co-occurring </w:t>
      </w:r>
      <w:r>
        <w:rPr>
          <w:i/>
          <w:sz w:val="24"/>
        </w:rPr>
        <w:t>Pseudomonas</w:t>
      </w:r>
      <w:r>
        <w:rPr>
          <w:sz w:val="24"/>
        </w:rPr>
        <w:t xml:space="preserve"> isolates from California Botanic Garden topsoil </w:t>
      </w:r>
    </w:p>
    <w:p w:rsidR="00A06EF2" w:rsidRDefault="00000000">
      <w:pPr>
        <w:spacing w:after="150" w:line="249" w:lineRule="auto"/>
        <w:ind w:left="-5" w:hanging="10"/>
      </w:pPr>
      <w:r>
        <w:rPr>
          <w:sz w:val="24"/>
        </w:rPr>
        <w:t>Chun-Yu Chen</w:t>
      </w:r>
      <w:r>
        <w:rPr>
          <w:sz w:val="24"/>
          <w:vertAlign w:val="superscript"/>
        </w:rPr>
        <w:t>1,3</w:t>
      </w:r>
      <w:r>
        <w:rPr>
          <w:sz w:val="24"/>
        </w:rPr>
        <w:t>, Xiaokuan Wang</w:t>
      </w:r>
      <w:r>
        <w:rPr>
          <w:sz w:val="24"/>
          <w:vertAlign w:val="superscript"/>
        </w:rPr>
        <w:t>2,3</w:t>
      </w:r>
      <w:r>
        <w:rPr>
          <w:sz w:val="24"/>
        </w:rPr>
        <w:t>, Yan Yan</w:t>
      </w:r>
      <w:r>
        <w:rPr>
          <w:sz w:val="24"/>
          <w:vertAlign w:val="superscript"/>
        </w:rPr>
        <w:t>2,3</w:t>
      </w:r>
      <w:r>
        <w:rPr>
          <w:sz w:val="24"/>
        </w:rPr>
        <w:t>, Rafael Escobar</w:t>
      </w:r>
      <w:r>
        <w:rPr>
          <w:sz w:val="24"/>
          <w:vertAlign w:val="superscript"/>
        </w:rPr>
        <w:t>3</w:t>
      </w:r>
      <w:r>
        <w:rPr>
          <w:sz w:val="24"/>
        </w:rPr>
        <w:t>, J. Cesar Ignacio-Espinoza</w:t>
      </w:r>
      <w:r>
        <w:rPr>
          <w:sz w:val="24"/>
          <w:vertAlign w:val="superscript"/>
        </w:rPr>
        <w:t xml:space="preserve">3* </w:t>
      </w:r>
    </w:p>
    <w:p w:rsidR="00A06EF2" w:rsidRDefault="00000000">
      <w:pPr>
        <w:spacing w:after="100"/>
      </w:pPr>
      <w:r>
        <w:rPr>
          <w:sz w:val="24"/>
        </w:rPr>
        <w:t xml:space="preserve"> </w:t>
      </w:r>
    </w:p>
    <w:p w:rsidR="00A06EF2" w:rsidRDefault="00000000">
      <w:pPr>
        <w:spacing w:after="116" w:line="249" w:lineRule="auto"/>
        <w:ind w:left="-5" w:hanging="10"/>
      </w:pPr>
      <w:r>
        <w:rPr>
          <w:sz w:val="24"/>
          <w:vertAlign w:val="superscript"/>
        </w:rPr>
        <w:t>1</w:t>
      </w:r>
      <w:r>
        <w:rPr>
          <w:sz w:val="24"/>
        </w:rPr>
        <w:t xml:space="preserve">Kravis Department of Integrated Sciences, Claremont McKenna College, Claremont, CA. 91711 </w:t>
      </w:r>
    </w:p>
    <w:p w:rsidR="00A06EF2" w:rsidRDefault="00000000">
      <w:pPr>
        <w:spacing w:after="134" w:line="249" w:lineRule="auto"/>
        <w:ind w:left="-5" w:hanging="10"/>
      </w:pPr>
      <w:r>
        <w:rPr>
          <w:sz w:val="24"/>
          <w:vertAlign w:val="superscript"/>
        </w:rPr>
        <w:t>2</w:t>
      </w:r>
      <w:r>
        <w:rPr>
          <w:sz w:val="24"/>
        </w:rPr>
        <w:t xml:space="preserve">Harvey Mudd College, Claremont, CA. 91711 </w:t>
      </w:r>
    </w:p>
    <w:p w:rsidR="00A06EF2" w:rsidRDefault="00000000">
      <w:pPr>
        <w:spacing w:after="5" w:line="350" w:lineRule="auto"/>
        <w:ind w:left="-5" w:right="342" w:hanging="10"/>
      </w:pPr>
      <w:r>
        <w:rPr>
          <w:sz w:val="24"/>
          <w:vertAlign w:val="superscript"/>
        </w:rPr>
        <w:t>3</w:t>
      </w:r>
      <w:r>
        <w:rPr>
          <w:sz w:val="24"/>
        </w:rPr>
        <w:t xml:space="preserve">Riggs School of Life Sciences, Keck Graduate Institute, Claremont, CA. 91711 </w:t>
      </w:r>
      <w:r>
        <w:rPr>
          <w:sz w:val="24"/>
          <w:vertAlign w:val="superscript"/>
        </w:rPr>
        <w:t>*</w:t>
      </w:r>
      <w:r>
        <w:rPr>
          <w:sz w:val="24"/>
        </w:rPr>
        <w:t xml:space="preserve">Corresponding author: jespinoza@kgi.edu </w:t>
      </w:r>
    </w:p>
    <w:p w:rsidR="00A06EF2" w:rsidRDefault="00000000">
      <w:pPr>
        <w:spacing w:after="97"/>
      </w:pPr>
      <w:r>
        <w:rPr>
          <w:sz w:val="24"/>
        </w:rPr>
        <w:t xml:space="preserve"> </w:t>
      </w:r>
    </w:p>
    <w:p w:rsidR="00A06EF2" w:rsidRDefault="00000000">
      <w:pPr>
        <w:spacing w:after="106" w:line="249" w:lineRule="auto"/>
        <w:ind w:left="-5" w:hanging="10"/>
      </w:pPr>
      <w:r>
        <w:rPr>
          <w:sz w:val="24"/>
        </w:rPr>
        <w:t xml:space="preserve">Abstract:  </w:t>
      </w:r>
    </w:p>
    <w:p w:rsidR="00A06EF2" w:rsidRDefault="00000000">
      <w:pPr>
        <w:spacing w:after="120" w:line="240" w:lineRule="auto"/>
        <w:ind w:left="-5" w:right="-13" w:hanging="10"/>
        <w:jc w:val="both"/>
      </w:pPr>
      <w:r>
        <w:rPr>
          <w:sz w:val="24"/>
        </w:rPr>
        <w:t xml:space="preserve">We report the complete genome sequences of three </w:t>
      </w:r>
      <w:r>
        <w:rPr>
          <w:i/>
          <w:sz w:val="24"/>
        </w:rPr>
        <w:t>Pseudomonas</w:t>
      </w:r>
      <w:r>
        <w:rPr>
          <w:sz w:val="24"/>
        </w:rPr>
        <w:t xml:space="preserve"> isolates recovered from topsoil at the California Botanic Garden. Two isolates share ~99.4% ANI, enabling investigation of intraspecies microvariation; the third represents a co-occurring distinct species, together capturing species- and strain-level genomic diversity within a natural soil community.</w:t>
      </w:r>
    </w:p>
    <w:p w:rsidR="00A06EF2" w:rsidRDefault="00000000">
      <w:pPr>
        <w:spacing w:after="106" w:line="249" w:lineRule="auto"/>
        <w:ind w:left="-5" w:hanging="10"/>
      </w:pPr>
      <w:r>
        <w:rPr>
          <w:sz w:val="24"/>
        </w:rPr>
        <w:t xml:space="preserve">Announcement: </w:t>
      </w:r>
    </w:p>
    <w:p w:rsidR="00A06EF2" w:rsidRDefault="00000000">
      <w:pPr>
        <w:spacing w:after="120" w:line="240" w:lineRule="auto"/>
        <w:ind w:left="-5" w:right="-13" w:hanging="10"/>
        <w:jc w:val="both"/>
      </w:pPr>
      <w:r>
        <w:rPr>
          <w:sz w:val="24"/>
        </w:rPr>
        <w:t xml:space="preserve">High-fidelity, complete genomes of closely related environmental isolates, such as those of the abundant and diverse </w:t>
      </w:r>
      <w:r>
        <w:rPr>
          <w:i/>
          <w:sz w:val="24"/>
        </w:rPr>
        <w:t>Pseudomonas</w:t>
      </w:r>
      <w:r>
        <w:rPr>
          <w:sz w:val="24"/>
        </w:rPr>
        <w:t xml:space="preserve"> genus[1], provide a valuable resource for studying micro diversity at full genome resolution. Here, we report the complete genome sequences of three </w:t>
      </w:r>
      <w:r>
        <w:rPr>
          <w:i/>
          <w:sz w:val="24"/>
        </w:rPr>
        <w:t>Pseudomonas</w:t>
      </w:r>
      <w:r>
        <w:rPr>
          <w:sz w:val="24"/>
        </w:rPr>
        <w:t xml:space="preserve"> isolates recovered from soil samples at the California Botanic Garden (Claremont, CA).</w:t>
      </w:r>
    </w:p>
    <w:p w:rsidR="00A06EF2" w:rsidRDefault="00000000">
      <w:pPr>
        <w:spacing w:after="240" w:line="240" w:lineRule="auto"/>
        <w:ind w:left="-5" w:right="-13" w:hanging="10"/>
        <w:jc w:val="both"/>
      </w:pPr>
      <w:r>
        <w:rPr>
          <w:sz w:val="24"/>
        </w:rPr>
        <w:t xml:space="preserve">Soil samples were collected with a T-Handle soil probe (Lichtund); collection sites are detailed in Table 1. Soil was transported to Keck Graduate Institute (KGI) and stored at 4°C until further processing. Bacterial enrichments were performed using 5 g of soil in 25 mL of </w:t>
      </w:r>
      <w:r>
        <w:rPr>
          <w:i/>
          <w:sz w:val="24"/>
        </w:rPr>
        <w:t>Pseudomonas</w:t>
      </w:r>
      <w:r>
        <w:rPr>
          <w:sz w:val="24"/>
        </w:rPr>
        <w:t xml:space="preserve"> Minimal Media (2 mM MgSO</w:t>
      </w:r>
      <w:r>
        <w:rPr>
          <w:sz w:val="24"/>
          <w:vertAlign w:val="subscript"/>
        </w:rPr>
        <w:t>4</w:t>
      </w:r>
      <w:r>
        <w:rPr>
          <w:sz w:val="24"/>
        </w:rPr>
        <w:t>, 0.31 mM FeCl</w:t>
      </w:r>
      <w:r>
        <w:rPr>
          <w:sz w:val="24"/>
          <w:vertAlign w:val="subscript"/>
        </w:rPr>
        <w:t>3</w:t>
      </w:r>
      <w:r>
        <w:rPr>
          <w:sz w:val="24"/>
        </w:rPr>
        <w:t>, 0.03 mM CaCl</w:t>
      </w:r>
      <w:r>
        <w:rPr>
          <w:sz w:val="24"/>
          <w:vertAlign w:val="subscript"/>
        </w:rPr>
        <w:t>2</w:t>
      </w:r>
      <w:r>
        <w:rPr>
          <w:sz w:val="24"/>
        </w:rPr>
        <w:t>, 15 mM NaH</w:t>
      </w:r>
      <w:r>
        <w:rPr>
          <w:sz w:val="24"/>
          <w:vertAlign w:val="subscript"/>
        </w:rPr>
        <w:t>2</w:t>
      </w:r>
      <w:r>
        <w:rPr>
          <w:sz w:val="24"/>
        </w:rPr>
        <w:t>PO</w:t>
      </w:r>
      <w:r>
        <w:rPr>
          <w:sz w:val="24"/>
          <w:vertAlign w:val="subscript"/>
        </w:rPr>
        <w:t>4</w:t>
      </w:r>
      <w:r>
        <w:rPr>
          <w:sz w:val="24"/>
        </w:rPr>
        <w:t>, 15 mM K</w:t>
      </w:r>
      <w:r>
        <w:rPr>
          <w:sz w:val="24"/>
          <w:vertAlign w:val="subscript"/>
        </w:rPr>
        <w:t>2</w:t>
      </w:r>
      <w:r>
        <w:rPr>
          <w:sz w:val="24"/>
        </w:rPr>
        <w:t>HPO</w:t>
      </w:r>
      <w:r>
        <w:rPr>
          <w:sz w:val="24"/>
          <w:vertAlign w:val="subscript"/>
        </w:rPr>
        <w:t>4</w:t>
      </w:r>
      <w:r>
        <w:rPr>
          <w:sz w:val="24"/>
        </w:rPr>
        <w:t>, pH 6.8) amended with 5 drops each of 10% Na-succinate and 20% NH</w:t>
      </w:r>
      <w:r>
        <w:rPr>
          <w:sz w:val="24"/>
          <w:vertAlign w:val="subscript"/>
        </w:rPr>
        <w:t>4</w:t>
      </w:r>
      <w:r>
        <w:rPr>
          <w:sz w:val="24"/>
        </w:rPr>
        <w:t xml:space="preserve">Cl as carbon and nitrogen sources [2]. After two days, enrichments were plated with a 1 uL loop on </w:t>
      </w:r>
      <w:r>
        <w:rPr>
          <w:i/>
          <w:sz w:val="24"/>
        </w:rPr>
        <w:t>Pseudomonas</w:t>
      </w:r>
      <w:r>
        <w:rPr>
          <w:sz w:val="24"/>
        </w:rPr>
        <w:t xml:space="preserve"> Minimal Agar (1.5% agar); after a further two days colonies were picked onto </w:t>
      </w:r>
      <w:r>
        <w:rPr>
          <w:i/>
          <w:sz w:val="24"/>
        </w:rPr>
        <w:t>Pseudomonas</w:t>
      </w:r>
      <w:r>
        <w:rPr>
          <w:sz w:val="24"/>
        </w:rPr>
        <w:t xml:space="preserve"> Isolation Agar (PIA, Criterion No:C6681, with 10 mL glycerol per 500 mL). Single colonies were grown overnight in lysogeny broth (LB; 25 g/L). Next morning, cultures reaching an optical density (OD600) &gt; 0.6 were archived as 25% glycerol stocks at -80°C; all 28 isolates archived in this study met this threshold. Five isolates spanning three collection sites and both colony types recovered on PIA were selected for whole-genome sequencing, and collapsed by ANI into the three strains reported here.</w:t>
      </w:r>
    </w:p>
    <w:p w:rsidR="00A06EF2" w:rsidRDefault="00000000">
      <w:pPr>
        <w:spacing w:after="120" w:line="240" w:lineRule="auto"/>
        <w:ind w:left="-5" w:right="-13" w:hanging="10"/>
        <w:jc w:val="both"/>
      </w:pPr>
      <w:r>
        <w:rPr>
          <w:sz w:val="24"/>
        </w:rPr>
        <w:t xml:space="preserve">For genome sequencing, colonies were revived from stocks by single-colony streak on LB agar (1% agar) and grown in 10 mL LB (2.5%). Overnight cultures were then pelleted at 3000 rpm for 15 minutes, washed twice with 5 mL PBS and once with 1.5 mL PBS. DNA was extracted using the QuickDNA Kit (Zymo Research Corporation), following manufacturer’s instructions. DNA was quantified using Portlite Fluorimetric DNA Quantification Kit (AAT Bioquest) and renormalized to 50 ng/uL. 20 uL were sent out for sequencing at Plasmidsaurus (Eugene, OR) on an Oxford Nanopore PromethION using R10.4.1 flow cells, with </w:t>
      </w:r>
      <w:r>
        <w:rPr>
          <w:sz w:val="24"/>
          <w:highlight w:val="yellow"/>
        </w:rPr>
        <w:t>amplification-free v14 chemistry in which input DNA undergoes minimal sequence-independent fragmentation by tagmentation</w:t>
      </w:r>
      <w:r>
        <w:rPr>
          <w:sz w:val="24"/>
        </w:rPr>
        <w:t>; no size selection was performed.</w:t>
      </w:r>
    </w:p>
    <w:p w:rsidR="00A06EF2" w:rsidRDefault="00000000">
      <w:pPr>
        <w:spacing w:after="5" w:line="249" w:lineRule="auto"/>
        <w:ind w:left="-5" w:hanging="10"/>
      </w:pPr>
      <w:r>
        <w:rPr>
          <w:sz w:val="24"/>
        </w:rPr>
        <w:t>Default parameters were used for all software unless otherwise specified.</w:t>
      </w:r>
    </w:p>
    <w:p w:rsidR="00A06EF2" w:rsidRDefault="00000000">
      <w:pPr>
        <w:spacing w:after="120" w:line="240" w:lineRule="auto"/>
        <w:ind w:left="-5" w:right="-13" w:hanging="10"/>
        <w:jc w:val="both"/>
      </w:pPr>
      <w:r>
        <w:rPr>
          <w:sz w:val="24"/>
        </w:rPr>
        <w:t xml:space="preserve">Basecalling was performed with Dorado using the super-accuracy (sup) basecalling model (v4.3.0 [3]) with default Q10 quality filtering, and the poorest 5% of reads were removed with Filtlong (v0.2.1 [4]). A de novo assembly was generated with Autocycler (v0.2.1[5]) from input assemblies produced by Flye (v2.9.6 [6]), hifiasm ([7]ONT mode), and Plassembler (v1.8.0 [8]). The circular assembly graph was reoriented using dnaapler (v1.2.0[9]). Genome completeness and contamination were assessed with CheckM (v1.2.2[10]). Isolates were taxonomically classified with sourmash (v4.9.4 [11]) against a GTDB database, which assigned all isolates to the genus </w:t>
      </w:r>
      <w:r>
        <w:rPr>
          <w:i/>
          <w:sz w:val="24"/>
        </w:rPr>
        <w:t>Pseudomonas</w:t>
      </w:r>
      <w:r>
        <w:rPr>
          <w:sz w:val="24"/>
        </w:rPr>
        <w:t xml:space="preserve">, two with an average nucleotide identity (ANI) of 99.5–99.75% to </w:t>
      </w:r>
      <w:r>
        <w:rPr>
          <w:i/>
          <w:sz w:val="24"/>
        </w:rPr>
        <w:t>Pseudomonas</w:t>
      </w:r>
      <w:r>
        <w:rPr>
          <w:sz w:val="24"/>
        </w:rPr>
        <w:t xml:space="preserve"> sp013179515 (GCF_013179515.1) and one to </w:t>
      </w:r>
      <w:r>
        <w:rPr>
          <w:i/>
          <w:sz w:val="24"/>
        </w:rPr>
        <w:t>Pseudomonas capeferrum</w:t>
      </w:r>
      <w:r>
        <w:rPr>
          <w:sz w:val="24"/>
        </w:rPr>
        <w:t xml:space="preserve"> (GCF_000731675.1, ANI 98.66 %). Genomes were annotated with Bakta (v1.12.0 [12]). Sequencing and assembly statistics are summarized in Table 1.</w:t>
      </w:r>
    </w:p>
    <w:p w:rsidR="00A06EF2" w:rsidRDefault="00000000">
      <w:pPr>
        <w:spacing w:after="106" w:line="249" w:lineRule="auto"/>
        <w:ind w:left="-5" w:hanging="10"/>
      </w:pPr>
      <w:r>
        <w:rPr>
          <w:sz w:val="24"/>
        </w:rPr>
        <w:t xml:space="preserve">Data availability: </w:t>
      </w:r>
    </w:p>
    <w:p w:rsidR="00A06EF2" w:rsidRDefault="00000000">
      <w:pPr>
        <w:spacing w:after="110" w:line="249" w:lineRule="auto"/>
        <w:ind w:left="-5" w:hanging="10"/>
      </w:pPr>
      <w:r>
        <w:rPr>
          <w:sz w:val="24"/>
        </w:rPr>
        <w:t>The complete genomes of our isolates and the raw sequencing data are available under BioProject PRJNA1482863 and PRJNA1483221 respectively. Individual accession numbers are listed in Table 1.</w:t>
      </w:r>
    </w:p>
    <w:p w:rsidR="00A06EF2" w:rsidRDefault="00000000">
      <w:pPr>
        <w:spacing w:after="106" w:line="249" w:lineRule="auto"/>
        <w:ind w:left="-5" w:hanging="10"/>
      </w:pPr>
      <w:r>
        <w:rPr>
          <w:sz w:val="24"/>
        </w:rPr>
        <w:t xml:space="preserve">Acknowledgements: </w:t>
      </w:r>
    </w:p>
    <w:p w:rsidR="00A06EF2" w:rsidRDefault="00000000">
      <w:pPr>
        <w:spacing w:after="110" w:line="249" w:lineRule="auto"/>
        <w:ind w:left="-5" w:hanging="10"/>
      </w:pPr>
      <w:r>
        <w:rPr>
          <w:sz w:val="24"/>
        </w:rPr>
        <w:t xml:space="preserve">The research team appreciates the support of the California Botanic Garden for their help facilitating sampling; infrastructural and financial support from Keck Graduate Institute.  </w:t>
      </w:r>
    </w:p>
    <w:p w:rsidR="00A06EF2" w:rsidRDefault="00000000">
      <w:pPr>
        <w:spacing w:after="97"/>
      </w:pPr>
      <w:r>
        <w:rPr>
          <w:sz w:val="24"/>
        </w:rPr>
        <w:t xml:space="preserve"> </w:t>
      </w:r>
    </w:p>
    <w:p w:rsidR="00A06EF2" w:rsidRDefault="00000000">
      <w:pPr>
        <w:spacing w:after="124" w:line="249" w:lineRule="auto"/>
        <w:ind w:left="-5" w:hanging="10"/>
      </w:pPr>
      <w:r>
        <w:rPr>
          <w:sz w:val="24"/>
        </w:rPr>
        <w:t xml:space="preserve">References </w:t>
      </w:r>
    </w:p>
    <w:p w:rsidR="00A06EF2" w:rsidRDefault="00000000">
      <w:pPr>
        <w:numPr>
          <w:ilvl w:val="0"/>
          <w:numId w:val="1"/>
        </w:numPr>
        <w:spacing w:after="5" w:line="249" w:lineRule="auto"/>
        <w:ind w:hanging="641"/>
      </w:pPr>
      <w:r>
        <w:rPr>
          <w:sz w:val="24"/>
        </w:rPr>
        <w:t xml:space="preserve">X. Wu, S. Monchy, S. Taghavi, W. Zhu, J. Ramos, and D. van der Lelie, “Comparative genomics and functional analysis of niche-specific adaptation in </w:t>
      </w:r>
      <w:r>
        <w:rPr>
          <w:i/>
          <w:sz w:val="24"/>
        </w:rPr>
        <w:t>Pseudomonas putida</w:t>
      </w:r>
      <w:r>
        <w:rPr>
          <w:sz w:val="24"/>
        </w:rPr>
        <w:t xml:space="preserve">,” </w:t>
      </w:r>
      <w:r>
        <w:rPr>
          <w:i/>
          <w:sz w:val="24"/>
        </w:rPr>
        <w:t>FEMS Microbiol. Rev.</w:t>
      </w:r>
      <w:r>
        <w:rPr>
          <w:sz w:val="24"/>
        </w:rPr>
        <w:t xml:space="preserve">, vol. 35, no. 2, pp. 299–323, Mar. 2011, doi: 10.1111/j.15746976.2010.00249.x. </w:t>
      </w:r>
    </w:p>
    <w:p w:rsidR="00A06EF2" w:rsidRDefault="00000000">
      <w:pPr>
        <w:numPr>
          <w:ilvl w:val="0"/>
          <w:numId w:val="1"/>
        </w:numPr>
        <w:spacing w:after="5" w:line="249" w:lineRule="auto"/>
        <w:ind w:hanging="641"/>
      </w:pPr>
      <w:r>
        <w:rPr>
          <w:sz w:val="24"/>
        </w:rPr>
        <w:t>K. Sandman and C. Ecker, “</w:t>
      </w:r>
      <w:r>
        <w:rPr>
          <w:i/>
          <w:sz w:val="24"/>
        </w:rPr>
        <w:t>Pseudomonas</w:t>
      </w:r>
      <w:r>
        <w:rPr>
          <w:sz w:val="24"/>
        </w:rPr>
        <w:t xml:space="preserve"> Isolation and Identification: An Introduction to the Challenges of Polyphasic Taxonomy,” </w:t>
      </w:r>
      <w:r>
        <w:rPr>
          <w:i/>
          <w:sz w:val="24"/>
        </w:rPr>
        <w:t>J. Microbiol. Biol. Educ.</w:t>
      </w:r>
      <w:r>
        <w:rPr>
          <w:sz w:val="24"/>
        </w:rPr>
        <w:t xml:space="preserve">, vol. 15, no. 2, pp. 287– 291, Dec. 2014, doi: 10.1128/jmbe.v15i2.754. </w:t>
      </w:r>
    </w:p>
    <w:p w:rsidR="00A06EF2" w:rsidRDefault="00000000">
      <w:pPr>
        <w:numPr>
          <w:ilvl w:val="0"/>
          <w:numId w:val="1"/>
        </w:numPr>
        <w:spacing w:after="5" w:line="249" w:lineRule="auto"/>
        <w:ind w:hanging="641"/>
      </w:pPr>
      <w:r>
        <w:rPr>
          <w:sz w:val="24"/>
        </w:rPr>
        <w:t xml:space="preserve">“GitHub - nanoporetech/dorado: Oxford Nanopore’s Basecaller.,” https://github.com/nanoporetech/dorado/. </w:t>
      </w:r>
    </w:p>
    <w:p w:rsidR="00A06EF2" w:rsidRDefault="00000000">
      <w:pPr>
        <w:numPr>
          <w:ilvl w:val="0"/>
          <w:numId w:val="1"/>
        </w:numPr>
        <w:spacing w:after="5" w:line="249" w:lineRule="auto"/>
        <w:ind w:hanging="641"/>
      </w:pPr>
      <w:r>
        <w:rPr>
          <w:sz w:val="24"/>
        </w:rPr>
        <w:t xml:space="preserve">Wick R.R., “ Filtlong. github.com/rrwick/Filtlong.,” 2018. </w:t>
      </w:r>
    </w:p>
    <w:p w:rsidR="00A06EF2" w:rsidRDefault="00000000">
      <w:pPr>
        <w:numPr>
          <w:ilvl w:val="0"/>
          <w:numId w:val="1"/>
        </w:numPr>
        <w:spacing w:after="5" w:line="249" w:lineRule="auto"/>
        <w:ind w:hanging="641"/>
      </w:pPr>
      <w:r>
        <w:rPr>
          <w:sz w:val="24"/>
        </w:rPr>
        <w:t xml:space="preserve">R. R. Wick, B. P. Howden, and T. P. Stinear, “Autocycler: long-read consensus assembly for bacterial genomes,” </w:t>
      </w:r>
      <w:r>
        <w:rPr>
          <w:i/>
          <w:sz w:val="24"/>
        </w:rPr>
        <w:t>Bioinformatics</w:t>
      </w:r>
      <w:r>
        <w:rPr>
          <w:sz w:val="24"/>
        </w:rPr>
        <w:t xml:space="preserve">, vol. 41, no. 9, Sep. 2025, doi: </w:t>
      </w:r>
    </w:p>
    <w:p w:rsidR="00A06EF2" w:rsidRDefault="00000000">
      <w:pPr>
        <w:spacing w:after="5" w:line="249" w:lineRule="auto"/>
        <w:ind w:left="651" w:hanging="10"/>
      </w:pPr>
      <w:r>
        <w:rPr>
          <w:sz w:val="24"/>
        </w:rPr>
        <w:t xml:space="preserve">10.1093/bioinformatics/btaf474. </w:t>
      </w:r>
    </w:p>
    <w:p w:rsidR="00A06EF2" w:rsidRDefault="00000000">
      <w:pPr>
        <w:numPr>
          <w:ilvl w:val="0"/>
          <w:numId w:val="1"/>
        </w:numPr>
        <w:spacing w:after="5" w:line="249" w:lineRule="auto"/>
        <w:ind w:hanging="641"/>
      </w:pPr>
      <w:r>
        <w:rPr>
          <w:sz w:val="24"/>
        </w:rPr>
        <w:t xml:space="preserve">M. Kolmogorov, J. Yuan, Y. Lin, and P. A. Pevzner, “Assembly of long, error-prone reads using repeat graphs,” </w:t>
      </w:r>
      <w:r>
        <w:rPr>
          <w:i/>
          <w:sz w:val="24"/>
        </w:rPr>
        <w:t>Nat. Biotechnol.</w:t>
      </w:r>
      <w:r>
        <w:rPr>
          <w:sz w:val="24"/>
        </w:rPr>
        <w:t xml:space="preserve">, vol. 37, no. 5, pp. 540–546, May 2019, doi: </w:t>
      </w:r>
    </w:p>
    <w:p w:rsidR="00A06EF2" w:rsidRDefault="00000000">
      <w:pPr>
        <w:spacing w:after="5" w:line="249" w:lineRule="auto"/>
        <w:ind w:left="651" w:hanging="10"/>
      </w:pPr>
      <w:r>
        <w:rPr>
          <w:sz w:val="24"/>
        </w:rPr>
        <w:t xml:space="preserve">10.1038/s41587-019-0072-8. </w:t>
      </w:r>
    </w:p>
    <w:p w:rsidR="00A06EF2" w:rsidRDefault="00000000">
      <w:pPr>
        <w:numPr>
          <w:ilvl w:val="0"/>
          <w:numId w:val="1"/>
        </w:numPr>
        <w:spacing w:after="5" w:line="249" w:lineRule="auto"/>
        <w:ind w:hanging="641"/>
      </w:pPr>
      <w:r>
        <w:rPr>
          <w:sz w:val="24"/>
        </w:rPr>
        <w:lastRenderedPageBreak/>
        <w:t xml:space="preserve">H. Cheng </w:t>
      </w:r>
      <w:r>
        <w:rPr>
          <w:i/>
          <w:sz w:val="24"/>
        </w:rPr>
        <w:t>et al.</w:t>
      </w:r>
      <w:r>
        <w:rPr>
          <w:sz w:val="24"/>
        </w:rPr>
        <w:t xml:space="preserve">, “Efficient near-telomere-to-telomere assembly of nanopore simplex reads,” </w:t>
      </w:r>
      <w:r>
        <w:rPr>
          <w:i/>
          <w:sz w:val="24"/>
        </w:rPr>
        <w:t>Nature</w:t>
      </w:r>
      <w:r>
        <w:rPr>
          <w:sz w:val="24"/>
        </w:rPr>
        <w:t xml:space="preserve">, Feb. 2026, doi: 10.1038/s41586-026-10105-6. </w:t>
      </w:r>
    </w:p>
    <w:p w:rsidR="00A06EF2" w:rsidRDefault="00000000">
      <w:pPr>
        <w:numPr>
          <w:ilvl w:val="0"/>
          <w:numId w:val="1"/>
        </w:numPr>
        <w:spacing w:after="5" w:line="249" w:lineRule="auto"/>
        <w:ind w:hanging="641"/>
      </w:pPr>
      <w:r>
        <w:rPr>
          <w:sz w:val="24"/>
        </w:rPr>
        <w:t xml:space="preserve">G. Bouras, A. E. Sheppard, V. Mallawaarachchi, and S. Vreugde, “Plassembler: an automated bacterial plasmid assembly tool,” </w:t>
      </w:r>
      <w:r>
        <w:rPr>
          <w:i/>
          <w:sz w:val="24"/>
        </w:rPr>
        <w:t>Bioinformatics</w:t>
      </w:r>
      <w:r>
        <w:rPr>
          <w:sz w:val="24"/>
        </w:rPr>
        <w:t xml:space="preserve">, vol. 39, no. 7, Jul. 2023, doi: </w:t>
      </w:r>
    </w:p>
    <w:p w:rsidR="00A06EF2" w:rsidRDefault="00000000">
      <w:pPr>
        <w:spacing w:after="5" w:line="249" w:lineRule="auto"/>
        <w:ind w:left="651" w:hanging="10"/>
      </w:pPr>
      <w:r>
        <w:rPr>
          <w:sz w:val="24"/>
        </w:rPr>
        <w:t xml:space="preserve">10.1093/bioinformatics/btad409. </w:t>
      </w:r>
    </w:p>
    <w:p w:rsidR="00A06EF2" w:rsidRDefault="00000000">
      <w:pPr>
        <w:numPr>
          <w:ilvl w:val="0"/>
          <w:numId w:val="1"/>
        </w:numPr>
        <w:spacing w:after="5" w:line="249" w:lineRule="auto"/>
        <w:ind w:hanging="641"/>
      </w:pPr>
      <w:r>
        <w:rPr>
          <w:sz w:val="24"/>
        </w:rPr>
        <w:t xml:space="preserve">G. Bouras, S. R. Grigson, B. Papudeshi, V. Mallawaarachchi, and M. J. Roach, “Dnaapler: A tool to reorient circular microbial genomes,” </w:t>
      </w:r>
      <w:r>
        <w:rPr>
          <w:i/>
          <w:sz w:val="24"/>
        </w:rPr>
        <w:t>J. Open Source Softw.</w:t>
      </w:r>
      <w:r>
        <w:rPr>
          <w:sz w:val="24"/>
        </w:rPr>
        <w:t xml:space="preserve">, vol. 9, no. 93, p. 5968, Jan. 2024, doi: 10.21105/joss.05968. </w:t>
      </w:r>
    </w:p>
    <w:p w:rsidR="00A06EF2" w:rsidRDefault="00000000">
      <w:pPr>
        <w:numPr>
          <w:ilvl w:val="0"/>
          <w:numId w:val="1"/>
        </w:numPr>
        <w:spacing w:after="5" w:line="249" w:lineRule="auto"/>
        <w:ind w:hanging="641"/>
      </w:pPr>
      <w:r>
        <w:rPr>
          <w:sz w:val="24"/>
        </w:rPr>
        <w:t xml:space="preserve">D. H. Parks, M. Imelfort, C. T. Skennerton, P. Hugenholtz, and G. W. Tyson, “CheckM: </w:t>
      </w:r>
    </w:p>
    <w:p w:rsidR="00A06EF2" w:rsidRDefault="00000000">
      <w:pPr>
        <w:spacing w:after="5" w:line="249" w:lineRule="auto"/>
        <w:ind w:left="651" w:hanging="10"/>
      </w:pPr>
      <w:r>
        <w:rPr>
          <w:sz w:val="24"/>
        </w:rPr>
        <w:t xml:space="preserve">assessing the quality of microbial genomes recovered from isolates, single cells, and metagenomes,” </w:t>
      </w:r>
      <w:r>
        <w:rPr>
          <w:i/>
          <w:sz w:val="24"/>
        </w:rPr>
        <w:t>Genome Res.</w:t>
      </w:r>
      <w:r>
        <w:rPr>
          <w:sz w:val="24"/>
        </w:rPr>
        <w:t xml:space="preserve">, vol. 25, no. 7, pp. 1043–1055, Jul. 2015, doi: </w:t>
      </w:r>
    </w:p>
    <w:p w:rsidR="00A06EF2" w:rsidRDefault="00000000">
      <w:pPr>
        <w:spacing w:after="5" w:line="249" w:lineRule="auto"/>
        <w:ind w:left="651" w:hanging="10"/>
      </w:pPr>
      <w:r>
        <w:rPr>
          <w:sz w:val="24"/>
        </w:rPr>
        <w:t xml:space="preserve">10.1101/gr.186072.114. </w:t>
      </w:r>
    </w:p>
    <w:p w:rsidR="00A06EF2" w:rsidRDefault="00000000">
      <w:pPr>
        <w:numPr>
          <w:ilvl w:val="0"/>
          <w:numId w:val="1"/>
        </w:numPr>
        <w:spacing w:after="5" w:line="249" w:lineRule="auto"/>
        <w:ind w:hanging="641"/>
      </w:pPr>
      <w:r>
        <w:rPr>
          <w:sz w:val="24"/>
        </w:rPr>
        <w:t xml:space="preserve">L. Irber </w:t>
      </w:r>
      <w:r>
        <w:rPr>
          <w:i/>
          <w:sz w:val="24"/>
        </w:rPr>
        <w:t>et al.</w:t>
      </w:r>
      <w:r>
        <w:rPr>
          <w:sz w:val="24"/>
        </w:rPr>
        <w:t xml:space="preserve">, “sourmash v4: A multitool to quickly search, compare, and analyze genomic and metagenomic data sets,” </w:t>
      </w:r>
      <w:r>
        <w:rPr>
          <w:i/>
          <w:sz w:val="24"/>
        </w:rPr>
        <w:t>J. Open Source Softw.</w:t>
      </w:r>
      <w:r>
        <w:rPr>
          <w:sz w:val="24"/>
        </w:rPr>
        <w:t xml:space="preserve">, vol. 9, no. 98, p. 6830, Jun. 2024, doi: </w:t>
      </w:r>
    </w:p>
    <w:p w:rsidR="00A06EF2" w:rsidRDefault="00000000">
      <w:pPr>
        <w:spacing w:after="5" w:line="249" w:lineRule="auto"/>
        <w:ind w:left="651" w:hanging="10"/>
      </w:pPr>
      <w:r>
        <w:rPr>
          <w:sz w:val="24"/>
        </w:rPr>
        <w:t xml:space="preserve">10.21105/joss.06830. </w:t>
      </w:r>
    </w:p>
    <w:p w:rsidR="00A06EF2" w:rsidRDefault="00000000">
      <w:pPr>
        <w:numPr>
          <w:ilvl w:val="0"/>
          <w:numId w:val="1"/>
        </w:numPr>
        <w:spacing w:after="5" w:line="249" w:lineRule="auto"/>
        <w:ind w:hanging="641"/>
      </w:pPr>
      <w:r>
        <w:rPr>
          <w:sz w:val="24"/>
        </w:rPr>
        <w:t xml:space="preserve">O. Schwengers, L. Jelonek, M. A. Dieckmann, S. Beyvers, J. Blom, and A. Goesmann, “Bakta: rapid and standardized annotation of bacterial genomes via alignment-free sequence identification,” </w:t>
      </w:r>
      <w:r>
        <w:rPr>
          <w:i/>
          <w:sz w:val="24"/>
        </w:rPr>
        <w:t>Microb. Genom.</w:t>
      </w:r>
      <w:r>
        <w:rPr>
          <w:sz w:val="24"/>
        </w:rPr>
        <w:t xml:space="preserve">, vol. 7, no. 11, Nov. 2021, doi: </w:t>
      </w:r>
    </w:p>
    <w:p w:rsidR="00A06EF2" w:rsidRDefault="00000000">
      <w:pPr>
        <w:spacing w:after="106" w:line="249" w:lineRule="auto"/>
        <w:ind w:left="651" w:hanging="10"/>
      </w:pPr>
      <w:r>
        <w:rPr>
          <w:sz w:val="24"/>
        </w:rPr>
        <w:t xml:space="preserve">10.1099/mgen.0.000685. </w:t>
      </w:r>
    </w:p>
    <w:p w:rsidR="00A06EF2" w:rsidRDefault="00000000">
      <w:pPr>
        <w:spacing w:after="112"/>
      </w:pPr>
      <w:r>
        <w:rPr>
          <w:sz w:val="24"/>
        </w:rPr>
        <w:t xml:space="preserve">  </w:t>
      </w:r>
    </w:p>
    <w:p w:rsidR="00A06EF2" w:rsidRDefault="00000000">
      <w:pPr>
        <w:spacing w:after="0"/>
      </w:pPr>
      <w:r>
        <w:rPr>
          <w:b/>
          <w:sz w:val="24"/>
        </w:rPr>
        <w:t xml:space="preserve"> </w:t>
      </w:r>
      <w:r>
        <w:rPr>
          <w:b/>
          <w:sz w:val="24"/>
        </w:rPr>
        <w:tab/>
        <w:t xml:space="preserve"> </w:t>
      </w:r>
      <w:r>
        <w:br w:type="page"/>
      </w:r>
    </w:p>
    <w:p w:rsidR="00A06EF2" w:rsidRDefault="00000000">
      <w:pPr>
        <w:spacing w:after="5" w:line="249" w:lineRule="auto"/>
        <w:ind w:left="-5" w:hanging="10"/>
      </w:pPr>
      <w:r>
        <w:rPr>
          <w:b/>
          <w:sz w:val="24"/>
        </w:rPr>
        <w:lastRenderedPageBreak/>
        <w:t>Table 1.</w:t>
      </w:r>
      <w:r>
        <w:rPr>
          <w:sz w:val="24"/>
        </w:rPr>
        <w:t xml:space="preserve"> Genome assembly, annotation, and collection metadata for the three </w:t>
      </w:r>
      <w:r>
        <w:rPr>
          <w:i/>
          <w:sz w:val="24"/>
        </w:rPr>
        <w:t>Pseudomonas</w:t>
      </w:r>
      <w:r>
        <w:rPr>
          <w:sz w:val="24"/>
        </w:rPr>
        <w:t xml:space="preserve"> isolates. Isolates are columns; metrics are rows.</w:t>
      </w:r>
      <w:r>
        <w:rPr>
          <w:sz w:val="16"/>
        </w:rPr>
        <w:t xml:space="preserve"> </w:t>
      </w:r>
      <w:r>
        <w:rPr>
          <w:sz w:val="24"/>
        </w:rPr>
        <w:t xml:space="preserve">Coordinates in degrees-minutes-seconds (WGS84); elevation in meters. Completeness/contamination by CheckM; closest species and ANI by sourmash (GTDB). </w:t>
      </w:r>
    </w:p>
    <w:p w:rsidR="00A06EF2" w:rsidRDefault="00000000">
      <w:pPr>
        <w:spacing w:after="0"/>
        <w:ind w:left="67"/>
      </w:pPr>
      <w:r>
        <w:rPr>
          <w:rFonts w:ascii="Times New Roman" w:eastAsia="Times New Roman" w:hAnsi="Times New Roman" w:cs="Times New Roman"/>
          <w:sz w:val="24"/>
        </w:rPr>
        <w:t xml:space="preserve"> </w:t>
      </w:r>
    </w:p>
    <w:tbl>
      <w:tblPr>
        <w:tblStyle w:val="TableGrid"/>
        <w:tblW w:w="8715" w:type="dxa"/>
        <w:tblInd w:w="9" w:type="dxa"/>
        <w:tblCellMar>
          <w:top w:w="78" w:type="dxa"/>
          <w:left w:w="44" w:type="dxa"/>
          <w:bottom w:w="0" w:type="dxa"/>
          <w:right w:w="15" w:type="dxa"/>
        </w:tblCellMar>
        <w:tblLook w:val="04A0" w:firstRow="1" w:lastRow="0" w:firstColumn="1" w:lastColumn="0" w:noHBand="0" w:noVBand="1"/>
      </w:tblPr>
      <w:tblGrid>
        <w:gridCol w:w="2264"/>
        <w:gridCol w:w="2086"/>
        <w:gridCol w:w="2086"/>
        <w:gridCol w:w="2279"/>
      </w:tblGrid>
      <w:tr w:rsidR="00A06EF2">
        <w:trPr>
          <w:trHeight w:val="287"/>
        </w:trPr>
        <w:tc>
          <w:tcPr>
            <w:tcW w:w="2264" w:type="dxa"/>
            <w:tcBorders>
              <w:top w:val="single" w:sz="6" w:space="0" w:color="000000"/>
              <w:left w:val="single" w:sz="6" w:space="0" w:color="000000"/>
              <w:bottom w:val="single" w:sz="6" w:space="0" w:color="000000"/>
              <w:right w:val="single" w:sz="6" w:space="0" w:color="000000"/>
            </w:tcBorders>
            <w:shd w:val="clear" w:color="auto" w:fill="B0B3B2"/>
          </w:tcPr>
          <w:p w:rsidR="00A06EF2" w:rsidRDefault="00A06EF2"/>
        </w:tc>
        <w:tc>
          <w:tcPr>
            <w:tcW w:w="2086" w:type="dxa"/>
            <w:tcBorders>
              <w:top w:val="single" w:sz="6" w:space="0" w:color="000000"/>
              <w:left w:val="single" w:sz="6" w:space="0" w:color="000000"/>
              <w:bottom w:val="single" w:sz="6" w:space="0" w:color="000000"/>
              <w:right w:val="single" w:sz="6" w:space="0" w:color="000000"/>
            </w:tcBorders>
            <w:shd w:val="clear" w:color="auto" w:fill="B0B3B2"/>
          </w:tcPr>
          <w:p w:rsidR="00A06EF2" w:rsidRDefault="00000000">
            <w:pPr>
              <w:spacing w:after="0"/>
              <w:ind w:left="16"/>
            </w:pPr>
            <w:r>
              <w:rPr>
                <w:rFonts w:ascii="Sylfaen" w:eastAsia="Sylfaen" w:hAnsi="Sylfaen" w:cs="Sylfaen"/>
                <w:sz w:val="15"/>
              </w:rPr>
              <w:t>Isolate 8-5-2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shd w:val="clear" w:color="auto" w:fill="B0B3B2"/>
          </w:tcPr>
          <w:p w:rsidR="00A06EF2" w:rsidRDefault="00000000">
            <w:pPr>
              <w:spacing w:after="0"/>
              <w:ind w:left="16"/>
            </w:pPr>
            <w:r>
              <w:rPr>
                <w:rFonts w:ascii="Sylfaen" w:eastAsia="Sylfaen" w:hAnsi="Sylfaen" w:cs="Sylfaen"/>
                <w:sz w:val="15"/>
              </w:rPr>
              <w:t>Isolate 9-2-1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shd w:val="clear" w:color="auto" w:fill="B0B3B2"/>
          </w:tcPr>
          <w:p w:rsidR="00A06EF2" w:rsidRDefault="00000000">
            <w:pPr>
              <w:spacing w:after="0"/>
              <w:ind w:left="16"/>
            </w:pPr>
            <w:r>
              <w:rPr>
                <w:rFonts w:ascii="Sylfaen" w:eastAsia="Sylfaen" w:hAnsi="Sylfaen" w:cs="Sylfaen"/>
                <w:sz w:val="15"/>
              </w:rPr>
              <w:t>Isolate 8-10-2</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Sequencing sample ID</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B9TF7H_1_Sample_1_8A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XH254M_1_sample_1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jc w:val="both"/>
            </w:pPr>
            <w:r>
              <w:rPr>
                <w:rFonts w:ascii="Sylfaen" w:eastAsia="Sylfaen" w:hAnsi="Sylfaen" w:cs="Sylfaen"/>
                <w:sz w:val="15"/>
              </w:rPr>
              <w:t>CZJZZ4_1_rerun_Sample_2_8B_2</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Additional ≈100%-ANI isolate represented</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10-10-2 (99.997% ANI)</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9-6-2 (100.000% ANI)</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none</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BioSample</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SAMN61139397</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SAMN61139396</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SAMN61139398</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Genome assembly (GenBank)</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GCA_059295255.1</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GCA_059295275.1</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GCA_059295235.1</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Raw read accession (SRA)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SRR39379362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SRR39379361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SRR39379360</w:t>
            </w:r>
            <w:r>
              <w:rPr>
                <w:rFonts w:ascii="Times New Roman" w:eastAsia="Times New Roman" w:hAnsi="Times New Roman" w:cs="Times New Roman"/>
                <w:sz w:val="24"/>
              </w:rPr>
              <w:t xml:space="preserve"> </w:t>
            </w:r>
          </w:p>
        </w:tc>
      </w:tr>
      <w:tr w:rsidR="00A06EF2">
        <w:trPr>
          <w:trHeight w:val="332"/>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Isolation source</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California Botanic Garden soil</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California Botanic Garden soil</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California Botanic Garden soil</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Coordinates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34°6'54"N 117°43'28"W</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34°6'54"N 117°43'28"W</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34°6'54"N 117°43'28"W</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Elevation (m)</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410</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410</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410</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Adjacent plant</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pPr>
            <w:r>
              <w:rPr>
                <w:rFonts w:ascii="Sylfaen" w:eastAsia="Sylfaen" w:hAnsi="Sylfaen" w:cs="Sylfaen"/>
                <w:i/>
                <w:sz w:val="16"/>
              </w:rPr>
              <w:t>Chilopsis linearis</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pPr>
            <w:r>
              <w:rPr>
                <w:rFonts w:ascii="Sylfaen" w:eastAsia="Sylfaen" w:hAnsi="Sylfaen" w:cs="Sylfaen"/>
                <w:i/>
                <w:sz w:val="16"/>
              </w:rPr>
              <w:t>Aesculus californica</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pPr>
            <w:r>
              <w:rPr>
                <w:rFonts w:ascii="Sylfaen" w:eastAsia="Sylfaen" w:hAnsi="Sylfaen" w:cs="Sylfaen"/>
                <w:i/>
                <w:sz w:val="16"/>
              </w:rPr>
              <w:t>Chilopsis linearis</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Sequencing platform</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Oxford Nanopore PromethION, R10.4.1</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Oxford Nanopore PromethION, R10.4.1</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Oxford Nanopore PromethION, R10.4.1</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Genome size (bp)</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5,929,752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6,178,779</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5,698,233</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Contigs (n)</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Topology</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Circular</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Circular</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Circular</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N50 (bp)</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5,929,752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6,178,779</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5,698,233</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GC content (%)</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62.6</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62.4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62.6</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Final assembly coverage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95</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96</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Total raw reads</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559,553</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354,501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highlight w:val="yellow"/>
              </w:rPr>
              <w:t>[PENDING — see query]</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Total bases sequenced</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3,026 Mb</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1,935 Mb</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highlight w:val="yellow"/>
                <w:highlight w:val="yellow"/>
              </w:rPr>
              <w:t>[PENDING — see query]</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Raw coverage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510</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313</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highlight w:val="yellow"/>
                <w:highlight w:val="yellow"/>
                <w:highlight w:val="yellow"/>
              </w:rPr>
              <w:t>[PENDING — see query]</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Read N50 (bp)</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8,803</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9,050</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9,663</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Median read length (bp)</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3,474</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3,436</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3,839</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Median read quality (Phred)</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24.52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25.79</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23.48</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Completeness % (CheckM)</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99.74</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99.74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100.00</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Contamination % (CheckM)</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0.87</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1.94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0.20</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Closest species (GTDB)</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jc w:val="both"/>
            </w:pPr>
            <w:r>
              <w:rPr>
                <w:rFonts w:ascii="Sylfaen" w:eastAsia="Sylfaen" w:hAnsi="Sylfaen" w:cs="Sylfaen"/>
                <w:i/>
                <w:sz w:val="16"/>
              </w:rPr>
              <w:t>Pseudomonas_E sp013179515</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i/>
                <w:sz w:val="15"/>
              </w:rPr>
              <w:t>Pseudomonas_E sp013179515</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i/>
                <w:sz w:val="15"/>
              </w:rPr>
              <w:t>Pseudomonas_E capeferrum</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ANI to closest (%)</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99.75</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99.53</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98.66</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Total genes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5,410</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5,588</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5,199</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lastRenderedPageBreak/>
              <w:t>CDS (protein-coding genes)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5,264</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5,449</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5,055</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tRNA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73</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74</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79</w:t>
            </w:r>
            <w:r>
              <w:rPr>
                <w:rFonts w:ascii="Times New Roman" w:eastAsia="Times New Roman" w:hAnsi="Times New Roman" w:cs="Times New Roman"/>
                <w:sz w:val="24"/>
              </w:rPr>
              <w:t xml:space="preserve"> </w:t>
            </w:r>
          </w:p>
        </w:tc>
      </w:tr>
      <w:tr w:rsidR="00A06EF2">
        <w:trPr>
          <w:trHeight w:val="35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rRNA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22</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22</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22</w:t>
            </w:r>
            <w:r>
              <w:rPr>
                <w:rFonts w:ascii="Times New Roman" w:eastAsia="Times New Roman" w:hAnsi="Times New Roman" w:cs="Times New Roman"/>
                <w:sz w:val="24"/>
              </w:rPr>
              <w:t xml:space="preserve"> </w:t>
            </w:r>
          </w:p>
        </w:tc>
      </w:tr>
      <w:tr w:rsidR="00A06EF2">
        <w:trPr>
          <w:trHeight w:val="31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ncRNA</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50</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42</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42</w:t>
            </w:r>
            <w:r>
              <w:rPr>
                <w:rFonts w:ascii="Times New Roman" w:eastAsia="Times New Roman" w:hAnsi="Times New Roman" w:cs="Times New Roman"/>
                <w:sz w:val="24"/>
              </w:rPr>
              <w:t xml:space="preserve"> </w:t>
            </w:r>
          </w:p>
        </w:tc>
      </w:tr>
      <w:tr w:rsidR="00A06EF2">
        <w:trPr>
          <w:trHeight w:val="334"/>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Pseudogenes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10</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11</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12</w:t>
            </w:r>
            <w:r>
              <w:rPr>
                <w:rFonts w:ascii="Times New Roman" w:eastAsia="Times New Roman" w:hAnsi="Times New Roman" w:cs="Times New Roman"/>
                <w:sz w:val="24"/>
              </w:rPr>
              <w:t xml:space="preserve"> </w:t>
            </w:r>
          </w:p>
        </w:tc>
      </w:tr>
      <w:tr w:rsidR="00A06EF2">
        <w:trPr>
          <w:trHeight w:val="331"/>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Hypothetical proteins</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177</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233</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172</w:t>
            </w:r>
            <w:r>
              <w:rPr>
                <w:rFonts w:ascii="Times New Roman" w:eastAsia="Times New Roman" w:hAnsi="Times New Roman" w:cs="Times New Roman"/>
                <w:sz w:val="24"/>
              </w:rPr>
              <w:t xml:space="preserve"> </w:t>
            </w:r>
          </w:p>
        </w:tc>
      </w:tr>
      <w:tr w:rsidR="00A06EF2">
        <w:trPr>
          <w:trHeight w:val="332"/>
        </w:trPr>
        <w:tc>
          <w:tcPr>
            <w:tcW w:w="2264" w:type="dxa"/>
            <w:tcBorders>
              <w:top w:val="single" w:sz="6" w:space="0" w:color="000000"/>
              <w:left w:val="single" w:sz="6" w:space="0" w:color="000000"/>
              <w:bottom w:val="single" w:sz="6" w:space="0" w:color="000000"/>
              <w:right w:val="single" w:sz="6" w:space="0" w:color="000000"/>
            </w:tcBorders>
            <w:shd w:val="clear" w:color="auto" w:fill="D4D4D4"/>
          </w:tcPr>
          <w:p w:rsidR="00A06EF2" w:rsidRDefault="00000000">
            <w:pPr>
              <w:spacing w:after="0"/>
              <w:ind w:left="14"/>
            </w:pPr>
            <w:r>
              <w:rPr>
                <w:rFonts w:ascii="Sylfaen" w:eastAsia="Sylfaen" w:hAnsi="Sylfaen" w:cs="Sylfaen"/>
                <w:sz w:val="15"/>
              </w:rPr>
              <w:t>Coding density (%)</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89.7</w:t>
            </w:r>
            <w:r>
              <w:rPr>
                <w:rFonts w:ascii="Times New Roman" w:eastAsia="Times New Roman" w:hAnsi="Times New Roman" w:cs="Times New Roman"/>
                <w:sz w:val="24"/>
              </w:rPr>
              <w:t xml:space="preserve"> </w:t>
            </w:r>
          </w:p>
        </w:tc>
        <w:tc>
          <w:tcPr>
            <w:tcW w:w="2086"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89.6</w:t>
            </w:r>
            <w:r>
              <w:rPr>
                <w:rFonts w:ascii="Times New Roman" w:eastAsia="Times New Roman" w:hAnsi="Times New Roman" w:cs="Times New Roman"/>
                <w:sz w:val="24"/>
              </w:rPr>
              <w:t xml:space="preserve"> </w:t>
            </w:r>
          </w:p>
        </w:tc>
        <w:tc>
          <w:tcPr>
            <w:tcW w:w="2279" w:type="dxa"/>
            <w:tcBorders>
              <w:top w:val="single" w:sz="6" w:space="0" w:color="000000"/>
              <w:left w:val="single" w:sz="6" w:space="0" w:color="000000"/>
              <w:bottom w:val="single" w:sz="6" w:space="0" w:color="000000"/>
              <w:right w:val="single" w:sz="6" w:space="0" w:color="000000"/>
            </w:tcBorders>
          </w:tcPr>
          <w:p w:rsidR="00A06EF2" w:rsidRDefault="00000000">
            <w:pPr>
              <w:spacing w:after="0"/>
              <w:ind w:left="16"/>
            </w:pPr>
            <w:r>
              <w:rPr>
                <w:rFonts w:ascii="Sylfaen" w:eastAsia="Sylfaen" w:hAnsi="Sylfaen" w:cs="Sylfaen"/>
                <w:sz w:val="15"/>
              </w:rPr>
              <w:t>90.9</w:t>
            </w:r>
            <w:r>
              <w:rPr>
                <w:rFonts w:ascii="Times New Roman" w:eastAsia="Times New Roman" w:hAnsi="Times New Roman" w:cs="Times New Roman"/>
                <w:sz w:val="24"/>
              </w:rPr>
              <w:t xml:space="preserve"> </w:t>
            </w:r>
          </w:p>
        </w:tc>
      </w:tr>
    </w:tbl>
    <w:p w:rsidR="00A06EF2" w:rsidRDefault="00000000">
      <w:pPr>
        <w:spacing w:after="0"/>
      </w:pPr>
      <w:r>
        <w:rPr>
          <w:sz w:val="24"/>
        </w:rPr>
        <w:t xml:space="preserve"> </w:t>
      </w:r>
    </w:p>
    <w:sectPr w:rsidR="00A06EF2">
      <w:pgSz w:w="12240" w:h="15840"/>
      <w:pgMar w:top="1488" w:right="1434" w:bottom="1465" w:left="1440"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700ED3"/>
    <w:multiLevelType w:val="hybridMultilevel"/>
    <w:tmpl w:val="CE16D820"/>
    <w:lvl w:ilvl="0" w:tplc="D2C42252">
      <w:start w:val="1"/>
      <w:numFmt w:val="decimal"/>
      <w:lvlText w:val="[%1]"/>
      <w:lvlJc w:val="left"/>
      <w:pPr>
        <w:ind w:left="6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C4D7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F627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EAF1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1288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3050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4283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3E4B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5E41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4407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EF2"/>
    <w:rsid w:val="00A06EF2"/>
    <w:rsid w:val="00DA77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docId w15:val="{33055278-3B4F-F147-8CD8-AAFBDA0B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hidden/>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1327</Words>
  <Characters>7570</Characters>
  <Application>Microsoft Office Word</Application>
  <DocSecurity>0</DocSecurity>
  <Lines>63</Lines>
  <Paragraphs>17</Paragraphs>
  <ScaleCrop>false</ScaleCrop>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Chun-Yu (Alex)</dc:creator>
  <cp:keywords/>
  <cp:lastModifiedBy>Chen, Chun-Yu (Alex)</cp:lastModifiedBy>
  <cp:revision>2</cp:revision>
  <dcterms:created xsi:type="dcterms:W3CDTF">2026-08-08T18:12:00Z</dcterms:created>
  <dcterms:modified xsi:type="dcterms:W3CDTF">2026-08-08T18:12:00Z</dcterms:modified>
</cp:coreProperties>
</file>