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32"/>
        </w:rPr>
        <w:t>Response to Reviewers — MRA00793-26</w:t>
      </w:r>
    </w:p>
    <w:p>
      <w:pPr>
        <w:spacing w:after="40"/>
      </w:pPr>
      <w:r>
        <w:rPr>
          <w:rFonts w:ascii="Calibri" w:hAnsi="Calibri"/>
          <w:b/>
          <w:sz w:val="22"/>
        </w:rPr>
        <w:t>August 8, 2026</w:t>
      </w:r>
    </w:p>
    <w:p>
      <w:pPr>
        <w:spacing w:after="40"/>
      </w:pPr>
      <w:r>
        <w:rPr>
          <w:rFonts w:ascii="Calibri" w:hAnsi="Calibri"/>
          <w:b/>
          <w:sz w:val="22"/>
        </w:rPr>
        <w:t>By Chun-Yu Chen</w:t>
      </w:r>
    </w:p>
    <w:p>
      <w:pPr>
        <w:jc w:val="both"/>
      </w:pPr>
      <w:r>
        <w:rPr>
          <w:rFonts w:ascii="Calibri" w:hAnsi="Calibri"/>
          <w:sz w:val="22"/>
        </w:rPr>
        <w:t>Thank you, Reviewer #1 and Reviewer #2, for your detailed feedback on this manuscript. Your comments are essential for the clarity of sharing our scientific discovery. We are genuinely appreciative of your effort. Below is our response to the points raised in the review.</w:t>
      </w:r>
    </w:p>
    <w:p>
      <w:pPr>
        <w:jc w:val="both"/>
      </w:pPr>
      <w:r>
        <w:rPr>
          <w:rFonts w:ascii="Calibri" w:hAnsi="Calibri"/>
          <w:sz w:val="22"/>
        </w:rPr>
        <w:t>All line numbers refer to the originally submitted manuscript. Every change is shown in the marked-up manuscript file.</w:t>
      </w:r>
    </w:p>
    <w:p>
      <w:pPr>
        <w:spacing w:after="200"/>
        <w:pBdr>
          <w:bottom w:val="single" w:sz="6" w:space="1" w:color="BFBFBF"/>
        </w:pBdr>
      </w:pPr>
    </w:p>
    <w:p>
      <w:pPr>
        <w:spacing w:before="280" w:after="120"/>
      </w:pPr>
      <w:r>
        <w:rPr>
          <w:rFonts w:ascii="Calibri" w:hAnsi="Calibri"/>
          <w:b/>
          <w:sz w:val="26"/>
        </w:rPr>
        <w:t>Reviewer #1</w:t>
      </w:r>
    </w:p>
    <w:p>
      <w:pPr>
        <w:jc w:val="both"/>
      </w:pPr>
      <w:r>
        <w:rPr>
          <w:rFonts w:ascii="Calibri" w:hAnsi="Calibri"/>
          <w:b/>
          <w:sz w:val="22"/>
        </w:rPr>
        <w:t>1.1 — Isolate yield.</w:t>
      </w:r>
      <w:r>
        <w:rPr>
          <w:rFonts w:ascii="Calibri" w:hAnsi="Calibri"/>
          <w:sz w:val="22"/>
        </w:rPr>
        <w:t xml:space="preserve"> "It is not clear to me, if only these three isolates were obtained (out of how many?)"</w:t>
      </w:r>
    </w:p>
    <w:p>
      <w:pPr>
        <w:jc w:val="both"/>
      </w:pPr>
      <w:r>
        <w:rPr>
          <w:rFonts w:ascii="Calibri" w:hAnsi="Calibri"/>
          <w:sz w:val="22"/>
        </w:rPr>
        <w:t xml:space="preserve">The three genomes reported here are not the total yield of the isolation, and we have made that explicit. Ten soil sites were sampled and six were carried into enrichment; enrichments were plated onto 60 </w:t>
      </w:r>
      <w:r>
        <w:rPr>
          <w:rFonts w:ascii="Calibri" w:hAnsi="Calibri"/>
          <w:i/>
          <w:sz w:val="22"/>
        </w:rPr>
        <w:t>Pseudomonas</w:t>
      </w:r>
      <w:r>
        <w:rPr>
          <w:rFonts w:ascii="Calibri" w:hAnsi="Calibri"/>
          <w:sz w:val="22"/>
        </w:rPr>
        <w:t xml:space="preserve"> Minimal Agar plates, colonies were purified onto </w:t>
      </w:r>
      <w:r>
        <w:rPr>
          <w:rFonts w:ascii="Calibri" w:hAnsi="Calibri"/>
          <w:i/>
          <w:sz w:val="22"/>
        </w:rPr>
        <w:t>Pseudomonas</w:t>
      </w:r>
      <w:r>
        <w:rPr>
          <w:rFonts w:ascii="Calibri" w:hAnsi="Calibri"/>
          <w:sz w:val="22"/>
        </w:rPr>
        <w:t xml:space="preserve"> Isolation Agar and grown in LB, giving 28 archived isolates. Five were taken to whole-genome sequencing, and on ANI comparison these collapsed into three distinct strains — 10-10-2 is a 99.997%-ANI clone of 8-5-2 and 9-6-2 is a 100.000%-ANI clone of 9-2-1 — so one representative genome per strain is reported. This is what the "Represents" row of Table 1 was meant to convey; see 1.6 below, where that row is corrected.</w:t>
      </w:r>
    </w:p>
    <w:p>
      <w:pPr>
        <w:jc w:val="both"/>
      </w:pPr>
      <w:r>
        <w:rPr>
          <w:rFonts w:ascii="Calibri" w:hAnsi="Calibri"/>
          <w:b/>
          <w:sz w:val="22"/>
        </w:rPr>
        <w:t>Change:</w:t>
      </w:r>
      <w:r>
        <w:rPr>
          <w:rFonts w:ascii="Calibri" w:hAnsi="Calibri"/>
          <w:sz w:val="22"/>
        </w:rPr>
        <w:t xml:space="preserve"> new sentence after line 33 — "Five isolates spanning three collection sites and both colony types recovered on PIA were selected for whole-genome sequencing, and collapsed by ANI into the three strains reported here."</w:t>
      </w:r>
    </w:p>
    <w:p>
      <w:pPr>
        <w:spacing w:after="200"/>
        <w:pBdr>
          <w:bottom w:val="single" w:sz="6" w:space="1" w:color="BFBFBF"/>
        </w:pBdr>
      </w:pPr>
    </w:p>
    <w:p>
      <w:pPr>
        <w:jc w:val="both"/>
      </w:pPr>
      <w:r>
        <w:rPr>
          <w:rFonts w:ascii="Calibri" w:hAnsi="Calibri"/>
          <w:b/>
          <w:sz w:val="22"/>
        </w:rPr>
        <w:t>1.2 — Selection criteria.</w:t>
      </w:r>
      <w:r>
        <w:rPr>
          <w:rFonts w:ascii="Calibri" w:hAnsi="Calibri"/>
          <w:sz w:val="22"/>
        </w:rPr>
        <w:t xml:space="preserve"> "or what was the rationale for the selection criteria for sequencing (reaching an OD of 0.6?)"</w:t>
      </w:r>
    </w:p>
    <w:p>
      <w:pPr>
        <w:jc w:val="both"/>
      </w:pPr>
      <w:r>
        <w:rPr>
          <w:rFonts w:ascii="Calibri" w:hAnsi="Calibri"/>
          <w:sz w:val="22"/>
        </w:rPr>
        <w:t>You are right that the OD600 &gt; 0.6 threshold reads as a sequencing selection criterion; it is not one, and we have separated the two.</w:t>
      </w:r>
    </w:p>
    <w:p>
      <w:pPr>
        <w:jc w:val="both"/>
      </w:pPr>
      <w:r>
        <w:rPr>
          <w:rFonts w:ascii="Calibri" w:hAnsi="Calibri"/>
          <w:sz w:val="22"/>
        </w:rPr>
        <w:t>That threshold governed only whether an overnight culture was dense enough to be archived as a glycerol stock. Every one of the 28 archived isolates exceeded it (measured range 0.645–1.671), so it excluded nothing, and the isolates that were sequenced were not the highest-OD stocks in the collection.</w:t>
      </w:r>
    </w:p>
    <w:p>
      <w:pPr>
        <w:jc w:val="both"/>
      </w:pPr>
      <w:r>
        <w:rPr>
          <w:rFonts w:ascii="Calibri" w:hAnsi="Calibri"/>
          <w:sz w:val="22"/>
        </w:rPr>
        <w:t xml:space="preserve">The actual basis for selection was to maximise the diversity captured rather than to sample any one group repeatedly. Sampling sites had been chosen in the field by vegetation type, and the archived isolates were grouped by colony morphology and pigmentation on </w:t>
      </w:r>
      <w:r>
        <w:rPr>
          <w:rFonts w:ascii="Calibri" w:hAnsi="Calibri"/>
          <w:i/>
          <w:sz w:val="22"/>
        </w:rPr>
        <w:t>Pseudomonas</w:t>
      </w:r>
      <w:r>
        <w:rPr>
          <w:rFonts w:ascii="Calibri" w:hAnsi="Calibri"/>
          <w:sz w:val="22"/>
        </w:rPr>
        <w:t xml:space="preserve"> Isolation Agar into two sets, one of which the team had flagged as putative </w:t>
      </w:r>
      <w:r>
        <w:rPr>
          <w:rFonts w:ascii="Calibri" w:hAnsi="Calibri"/>
          <w:i/>
          <w:sz w:val="22"/>
        </w:rPr>
        <w:t>P. aeruginosa</w:t>
      </w:r>
      <w:r>
        <w:rPr>
          <w:rFonts w:ascii="Calibri" w:hAnsi="Calibri"/>
          <w:sz w:val="22"/>
        </w:rPr>
        <w:t>. Five isolates were then taken forward for sequencing so as to draw from both morphological sets and from three separate collection sites, rather than from a single site or a single colony type. The outcome supports the approach: the five isolates resolved into three genomically distinct strains, including one that proved to be a different species altogether (</w:t>
      </w:r>
      <w:r>
        <w:rPr>
          <w:rFonts w:ascii="Calibri" w:hAnsi="Calibri"/>
          <w:i/>
          <w:sz w:val="22"/>
        </w:rPr>
        <w:t>P. capeferrum</w:t>
      </w:r>
      <w:r>
        <w:rPr>
          <w:rFonts w:ascii="Calibri" w:hAnsi="Calibri"/>
          <w:sz w:val="22"/>
        </w:rPr>
        <w:t>).</w:t>
      </w:r>
    </w:p>
    <w:p>
      <w:pPr>
        <w:jc w:val="both"/>
      </w:pPr>
      <w:r>
        <w:rPr>
          <w:rFonts w:ascii="Calibri" w:hAnsi="Calibri"/>
          <w:b/>
          <w:sz w:val="22"/>
        </w:rPr>
        <w:t>Change:</w:t>
      </w:r>
      <w:r>
        <w:rPr>
          <w:rFonts w:ascii="Calibri" w:hAnsi="Calibri"/>
          <w:sz w:val="22"/>
        </w:rPr>
        <w:t xml:space="preserve"> lines 31–33 revised to "Next morning, cultures reaching an optical density (OD600) &gt; 0.6 were archived as 25% glycerol stocks at -80°C; all 28 isolates archived in this study met this threshold." The selection basis is stated in the new sentence given under 1.1 above.</w:t>
      </w:r>
    </w:p>
    <w:p>
      <w:pPr>
        <w:spacing w:after="200"/>
        <w:pBdr>
          <w:bottom w:val="single" w:sz="6" w:space="1" w:color="BFBFBF"/>
        </w:pBdr>
      </w:pPr>
    </w:p>
    <w:p>
      <w:pPr>
        <w:jc w:val="both"/>
      </w:pPr>
      <w:r>
        <w:rPr>
          <w:rFonts w:ascii="Calibri" w:hAnsi="Calibri"/>
          <w:b/>
          <w:sz w:val="22"/>
        </w:rPr>
        <w:t>1.3 — Contamination controls.</w:t>
      </w:r>
      <w:r>
        <w:rPr>
          <w:rFonts w:ascii="Calibri" w:hAnsi="Calibri"/>
          <w:sz w:val="22"/>
        </w:rPr>
        <w:t xml:space="preserve"> "Were any controls instituted to make sure contamination during the enrichment process was not an issue."</w:t>
      </w:r>
    </w:p>
    <w:p>
      <w:pPr>
        <w:jc w:val="both"/>
      </w:pPr>
      <w:r>
        <w:rPr>
          <w:rFonts w:ascii="Calibri" w:hAnsi="Calibri"/>
          <w:sz w:val="22"/>
        </w:rPr>
        <w:t xml:space="preserve">We did not run an uninoculated enrichment blank, and would rather say so plainly than imply otherwise. Purity was enforced procedurally and then verified from the assemblies themselves. Procedurally, every isolate passed through successive streak-to-single-colony rounds as described at lines 27–30 — from the enrichment onto </w:t>
      </w:r>
      <w:r>
        <w:rPr>
          <w:rFonts w:ascii="Calibri" w:hAnsi="Calibri"/>
          <w:i/>
          <w:sz w:val="22"/>
        </w:rPr>
        <w:t>Pseudomonas</w:t>
      </w:r>
      <w:r>
        <w:rPr>
          <w:rFonts w:ascii="Calibri" w:hAnsi="Calibri"/>
          <w:sz w:val="22"/>
        </w:rPr>
        <w:t xml:space="preserve"> Minimal Agar, from there onto </w:t>
      </w:r>
      <w:r>
        <w:rPr>
          <w:rFonts w:ascii="Calibri" w:hAnsi="Calibri"/>
          <w:i/>
          <w:sz w:val="22"/>
        </w:rPr>
        <w:t>Pseudomonas</w:t>
      </w:r>
      <w:r>
        <w:rPr>
          <w:rFonts w:ascii="Calibri" w:hAnsi="Calibri"/>
          <w:sz w:val="22"/>
        </w:rPr>
        <w:t xml:space="preserve"> Isolation Agar, a selective medium that restricts growth to </w:t>
      </w:r>
      <w:r>
        <w:rPr>
          <w:rFonts w:ascii="Calibri" w:hAnsi="Calibri"/>
          <w:i/>
          <w:sz w:val="22"/>
        </w:rPr>
        <w:t>Pseudomonas</w:t>
      </w:r>
      <w:r>
        <w:rPr>
          <w:rFonts w:ascii="Calibri" w:hAnsi="Calibri"/>
          <w:sz w:val="22"/>
        </w:rPr>
        <w:t>, and once more on revival from the frozen stock before DNA extraction. A fresh loop was used for every colony and a fresh pipette tip for every enrichment. Empirically, the assemblies are the strongest evidence available that enrichment-stage contamination did not carry through: each of the three isolates assembled into a single circular contig with CheckM completeness of 99.74–100.00% and CheckM contamination of 0.20–1.94%, and sourmash assigned each genome unambiguously to a single species. A mixed culture would not produce this result.</w:t>
      </w:r>
    </w:p>
    <w:p>
      <w:pPr>
        <w:jc w:val="both"/>
      </w:pPr>
      <w:r>
        <w:rPr>
          <w:rFonts w:ascii="Calibri" w:hAnsi="Calibri"/>
          <w:b/>
          <w:sz w:val="22"/>
        </w:rPr>
        <w:t>Change:</w:t>
      </w:r>
      <w:r>
        <w:rPr>
          <w:rFonts w:ascii="Calibri" w:hAnsi="Calibri"/>
          <w:sz w:val="22"/>
        </w:rPr>
        <w:t xml:space="preserve"> line 34 revised to "colonies were revived from stocks by single-colony streak on LB agar (1% agar)". The purity evidence — single-contig assemblies, CheckM completeness and contamination — is already reported in Table 1.</w:t>
      </w:r>
    </w:p>
    <w:p>
      <w:pPr>
        <w:spacing w:after="200"/>
        <w:pBdr>
          <w:bottom w:val="single" w:sz="6" w:space="1" w:color="BFBFBF"/>
        </w:pBdr>
      </w:pPr>
    </w:p>
    <w:p>
      <w:pPr>
        <w:jc w:val="both"/>
      </w:pPr>
      <w:r>
        <w:rPr>
          <w:rFonts w:ascii="Calibri" w:hAnsi="Calibri"/>
          <w:b/>
          <w:sz w:val="22"/>
        </w:rPr>
        <w:t>1.4 — DNA shearing.</w:t>
      </w:r>
      <w:r>
        <w:rPr>
          <w:rFonts w:ascii="Calibri" w:hAnsi="Calibri"/>
          <w:sz w:val="22"/>
        </w:rPr>
        <w:t xml:space="preserve"> "Please clarify if DNA was sheard for the ONT library preparation and if so how."</w:t>
      </w:r>
    </w:p>
    <w:p>
      <w:pPr>
        <w:jc w:val="both"/>
      </w:pPr>
      <w:r>
        <w:rPr>
          <w:rFonts w:ascii="Calibri" w:hAnsi="Calibri"/>
          <w:sz w:val="22"/>
        </w:rPr>
        <w:t>Thank you — checking this revealed that our description of the library preparation was inaccurate, and we have corrected it.</w:t>
      </w:r>
    </w:p>
    <w:p>
      <w:pPr>
        <w:jc w:val="both"/>
      </w:pPr>
      <w:r>
        <w:rPr>
          <w:rFonts w:ascii="Calibri" w:hAnsi="Calibri"/>
          <w:sz w:val="22"/>
        </w:rPr>
        <w:t>No shearing was performed by us. Genomic DNA was extracted on a silica column (Quick-DNA Kit, Zymo Research) with no bead-beating and no enzymatic or mechanical fragmentation, and was submitted intact to the sequencing provider.</w:t>
      </w:r>
    </w:p>
    <w:p>
      <w:pPr>
        <w:jc w:val="both"/>
      </w:pPr>
      <w:r>
        <w:rPr>
          <w:rFonts w:ascii="Calibri" w:hAnsi="Calibri"/>
          <w:sz w:val="22"/>
        </w:rPr>
        <w:t>The library preparation, however, does fragment the DNA, which the submitted manuscript did not convey. Plasmidsaurus prepare an amplification-free long-read library using v14 chemistry in which the input genomic DNA undergoes minimal, sequence-independent fragmentation by tagmentation. The manuscript described this as a ligation-based preparation, which was incorrect. No size selection is performed for the bacterial genome service.</w:t>
      </w:r>
    </w:p>
    <w:p>
      <w:pPr>
        <w:jc w:val="both"/>
      </w:pPr>
      <w:r>
        <w:rPr>
          <w:rFonts w:ascii="Calibri" w:hAnsi="Calibri"/>
          <w:b/>
          <w:sz w:val="22"/>
        </w:rPr>
        <w:t>Change:</w:t>
      </w:r>
      <w:r>
        <w:rPr>
          <w:rFonts w:ascii="Calibri" w:hAnsi="Calibri"/>
          <w:sz w:val="22"/>
        </w:rPr>
        <w:t xml:space="preserve"> lines 39–40 revised to "…were sent for sequencing at Plasmidsaurus (Eugene, OR) on an Oxford Nanopore PromethION using R10.4.1 flow cells, with amplification-free v14 chemistry in which input DNA undergoes minimal sequence-independent fragmentation by tagmentation; no size selection was performed."</w:t>
      </w:r>
    </w:p>
    <w:p>
      <w:pPr>
        <w:spacing w:after="200"/>
        <w:pBdr>
          <w:bottom w:val="single" w:sz="6" w:space="1" w:color="BFBFBF"/>
        </w:pBdr>
      </w:pPr>
    </w:p>
    <w:p>
      <w:pPr>
        <w:jc w:val="both"/>
      </w:pPr>
      <w:r>
        <w:rPr>
          <w:rFonts w:ascii="Calibri" w:hAnsi="Calibri"/>
          <w:b/>
          <w:sz w:val="22"/>
        </w:rPr>
        <w:t>1.5 — Flow cell and device.</w:t>
      </w:r>
      <w:r>
        <w:rPr>
          <w:rFonts w:ascii="Calibri" w:hAnsi="Calibri"/>
          <w:sz w:val="22"/>
        </w:rPr>
        <w:t xml:space="preserve"> "What ONT Flow cell/device was used for sequencing"</w:t>
      </w:r>
    </w:p>
    <w:p>
      <w:pPr>
        <w:jc w:val="both"/>
      </w:pPr>
      <w:r>
        <w:rPr>
          <w:rFonts w:ascii="Calibri" w:hAnsi="Calibri"/>
          <w:sz w:val="22"/>
        </w:rPr>
        <w:t>Sequencing was performed on an Oxford Nanopore PromethION using R10.4.1 flow cells. We apologise for the omission and have added both the instrument and the flow cell chemistry to the methods; the revised sentence is given under 1.4 above.</w:t>
      </w:r>
    </w:p>
    <w:p>
      <w:pPr>
        <w:spacing w:after="200"/>
        <w:pBdr>
          <w:bottom w:val="single" w:sz="6" w:space="1" w:color="BFBFBF"/>
        </w:pBdr>
      </w:pPr>
    </w:p>
    <w:p>
      <w:pPr>
        <w:jc w:val="both"/>
      </w:pPr>
      <w:r>
        <w:rPr>
          <w:rFonts w:ascii="Calibri" w:hAnsi="Calibri"/>
          <w:b/>
          <w:sz w:val="22"/>
        </w:rPr>
        <w:t>1.6 — Table 1, row 3.</w:t>
      </w:r>
      <w:r>
        <w:rPr>
          <w:rFonts w:ascii="Calibri" w:hAnsi="Calibri"/>
          <w:sz w:val="22"/>
        </w:rPr>
        <w:t xml:space="preserve"> "In Table 1, what does line 3 mean ? (it is the same name as the isolate?)"</w:t>
      </w:r>
    </w:p>
    <w:p>
      <w:pPr>
        <w:jc w:val="both"/>
      </w:pPr>
      <w:r>
        <w:rPr>
          <w:rFonts w:ascii="Calibri" w:hAnsi="Calibri"/>
          <w:sz w:val="22"/>
        </w:rPr>
        <w:t>You are right, and the row as printed was meaningless. It was meant to record which additional isolates each reported genome stands in for — that is, the ≈100%-ANI clones that were sequenced but are not reported separately — but it was populated with each isolate's own name instead. It now names the clone, and the row label has been made explicit.</w:t>
      </w:r>
    </w:p>
    <w:p>
      <w:pPr>
        <w:jc w:val="both"/>
      </w:pPr>
      <w:r>
        <w:rPr>
          <w:rFonts w:ascii="Calibri" w:hAnsi="Calibri"/>
          <w:b/>
          <w:sz w:val="22"/>
        </w:rPr>
        <w:t>Change:</w:t>
      </w:r>
      <w:r>
        <w:rPr>
          <w:rFonts w:ascii="Calibri" w:hAnsi="Calibri"/>
          <w:sz w:val="22"/>
        </w:rPr>
        <w:t xml:space="preserve"> the row has been relabelled "Additional ≈100%-ANI isolate represented", and its values corrected to "10-10-2 (99.997% ANI)" for 8-5-2, "9-6-2 (100.000% ANI)" for 9-2-1, and "none" for 8-10-2.</w:t>
      </w:r>
    </w:p>
    <w:p>
      <w:pPr>
        <w:spacing w:after="200"/>
        <w:pBdr>
          <w:bottom w:val="single" w:sz="6" w:space="1" w:color="BFBFBF"/>
        </w:pBdr>
      </w:pPr>
    </w:p>
    <w:p>
      <w:pPr>
        <w:jc w:val="both"/>
      </w:pPr>
      <w:r>
        <w:rPr>
          <w:rFonts w:ascii="Calibri" w:hAnsi="Calibri"/>
          <w:b/>
          <w:sz w:val="22"/>
        </w:rPr>
        <w:t>1.7 — Table 1, row 4.</w:t>
      </w:r>
      <w:r>
        <w:rPr>
          <w:rFonts w:ascii="Calibri" w:hAnsi="Calibri"/>
          <w:sz w:val="22"/>
        </w:rPr>
        <w:t xml:space="preserve"> "Line 4, this is the biosample number not the genome accession number. Assemblies start with GCA_XXXX"</w:t>
      </w:r>
    </w:p>
    <w:p>
      <w:pPr>
        <w:jc w:val="both"/>
      </w:pPr>
      <w:r>
        <w:rPr>
          <w:rFonts w:ascii="Calibri" w:hAnsi="Calibri"/>
          <w:sz w:val="22"/>
        </w:rPr>
        <w:t>Correct, and thank you for catching it — that row contained BioSample accessions. Table 1 now reports the BioSample and the genome assembly accession on separate rows, and all three assemblies are publicly available.</w:t>
      </w:r>
    </w:p>
    <w:p>
      <w:pPr>
        <w:jc w:val="both"/>
      </w:pPr>
      <w:r>
        <w:rPr>
          <w:rFonts w:ascii="Calibri" w:hAnsi="Calibri"/>
          <w:b/>
          <w:sz w:val="22"/>
        </w:rPr>
        <w:t>Change:</w:t>
      </w:r>
      <w:r>
        <w:rPr>
          <w:rFonts w:ascii="Calibri" w:hAnsi="Calibri"/>
          <w:sz w:val="22"/>
        </w:rPr>
        <w:t xml:space="preserve"> the row has been split into "BioSample" (SAMN61139397 for 8-5-2, SAMN61139396 for 9-2-1, SAMN61139398 for 8-10-2) and "Genome assembly (GenBank)" (GCA_059295255.1 for 8-5-2, GCA_059295275.1 for 9-2-1, GCA_059295235.1 for 8-10-2). The "Raw read accession (SRA)" row is unchanged. All accessions have been checked to resolve to their full public records.</w:t>
      </w:r>
    </w:p>
    <w:p>
      <w:pPr>
        <w:spacing w:after="200"/>
        <w:pBdr>
          <w:bottom w:val="single" w:sz="6" w:space="1" w:color="BFBFBF"/>
        </w:pBdr>
      </w:pPr>
    </w:p>
    <w:p>
      <w:pPr>
        <w:jc w:val="both"/>
      </w:pPr>
      <w:r>
        <w:rPr>
          <w:rFonts w:ascii="Calibri" w:hAnsi="Calibri"/>
          <w:b/>
          <w:sz w:val="22"/>
        </w:rPr>
        <w:t>1.8 — Italicisation.</w:t>
      </w:r>
      <w:r>
        <w:rPr>
          <w:rFonts w:ascii="Calibri" w:hAnsi="Calibri"/>
          <w:sz w:val="22"/>
        </w:rPr>
        <w:t xml:space="preserve"> "Check consistency of italicizing: Table one closest species and make sure to italicize the genus Pseudomonas. (e.g., line 11)"</w:t>
      </w:r>
    </w:p>
    <w:p>
      <w:pPr>
        <w:jc w:val="both"/>
      </w:pPr>
      <w:r>
        <w:rPr>
          <w:rFonts w:ascii="Calibri" w:hAnsi="Calibri"/>
          <w:sz w:val="22"/>
        </w:rPr>
        <w:t>Corrected throughout. We have italicised every genus and species name in the title, abstract, body, and both the "Closest species (GTDB)" and "Adjacent plant" rows of Table 1.</w:t>
      </w:r>
    </w:p>
    <w:p>
      <w:pPr>
        <w:jc w:val="both"/>
      </w:pPr>
      <w:r>
        <w:rPr>
          <w:rFonts w:ascii="Calibri" w:hAnsi="Calibri"/>
          <w:b/>
          <w:sz w:val="22"/>
        </w:rPr>
        <w:t>Change:</w:t>
      </w:r>
      <w:r>
        <w:rPr>
          <w:rFonts w:ascii="Calibri" w:hAnsi="Calibri"/>
          <w:sz w:val="22"/>
        </w:rPr>
        <w:t xml:space="preserve"> </w:t>
      </w:r>
      <w:r>
        <w:rPr>
          <w:rFonts w:ascii="Calibri" w:hAnsi="Calibri"/>
          <w:i/>
          <w:sz w:val="22"/>
        </w:rPr>
        <w:t>Pseudomonas</w:t>
      </w:r>
      <w:r>
        <w:rPr>
          <w:rFonts w:ascii="Calibri" w:hAnsi="Calibri"/>
          <w:sz w:val="22"/>
        </w:rPr>
        <w:t xml:space="preserve"> italicised at lines 11 and 18–19, where it had been left in roman; the "Closest species (GTDB)" cells for 9-2-1 and 8-10-2 italicised to match the 8-5-2 cell; </w:t>
      </w:r>
      <w:r>
        <w:rPr>
          <w:rFonts w:ascii="Calibri" w:hAnsi="Calibri"/>
          <w:i/>
          <w:sz w:val="22"/>
        </w:rPr>
        <w:t>Pseudomonas capeferrum</w:t>
      </w:r>
      <w:r>
        <w:rPr>
          <w:rFonts w:ascii="Calibri" w:hAnsi="Calibri"/>
          <w:sz w:val="22"/>
        </w:rPr>
        <w:t xml:space="preserve"> italicised in Table 1. Occurrences already italicised — the title, lines 17, 49 and 50–51, and the "Adjacent plant" row — were checked and left unchanged.</w:t>
      </w:r>
    </w:p>
    <w:p>
      <w:pPr>
        <w:spacing w:after="200"/>
        <w:pBdr>
          <w:bottom w:val="single" w:sz="6" w:space="1" w:color="BFBFBF"/>
        </w:pBdr>
      </w:pPr>
    </w:p>
    <w:p>
      <w:pPr>
        <w:spacing w:before="280" w:after="120"/>
      </w:pPr>
      <w:r>
        <w:rPr>
          <w:rFonts w:ascii="Calibri" w:hAnsi="Calibri"/>
          <w:b/>
          <w:sz w:val="26"/>
        </w:rPr>
        <w:t>Reviewer #2</w:t>
      </w:r>
    </w:p>
    <w:p>
      <w:pPr>
        <w:jc w:val="both"/>
      </w:pPr>
      <w:r>
        <w:rPr>
          <w:rFonts w:ascii="Calibri" w:hAnsi="Calibri"/>
          <w:sz w:val="22"/>
        </w:rPr>
        <w:t>We thank Reviewer #2 for the generous assessment of the manuscript.</w:t>
      </w:r>
    </w:p>
    <w:p>
      <w:pPr>
        <w:jc w:val="both"/>
      </w:pPr>
      <w:r>
        <w:rPr>
          <w:rFonts w:ascii="Calibri" w:hAnsi="Calibri"/>
          <w:b/>
          <w:sz w:val="22"/>
        </w:rPr>
        <w:t>2.1 — Italicisation.</w:t>
      </w:r>
      <w:r>
        <w:rPr>
          <w:rFonts w:ascii="Calibri" w:hAnsi="Calibri"/>
          <w:sz w:val="22"/>
        </w:rPr>
        <w:t xml:space="preserve"> "ensure all species and genus names are italicized as appropriate (see line 19)"</w:t>
      </w:r>
    </w:p>
    <w:p>
      <w:pPr>
        <w:jc w:val="both"/>
      </w:pPr>
      <w:r>
        <w:rPr>
          <w:rFonts w:ascii="Calibri" w:hAnsi="Calibri"/>
          <w:sz w:val="22"/>
        </w:rPr>
        <w:t>Corrected throughout, including line 19. Please see our response to Reviewer #1, point 1.8, for the full list of changes.</w:t>
      </w:r>
    </w:p>
    <w:p>
      <w:pPr>
        <w:spacing w:after="200"/>
        <w:pBdr>
          <w:bottom w:val="single" w:sz="6" w:space="1" w:color="BFBFBF"/>
        </w:pBdr>
      </w:pPr>
    </w:p>
    <w:p>
      <w:pPr>
        <w:ind w:left="432"/>
        <w:jc w:val="both"/>
      </w:pPr>
      <w:r>
        <w:rPr>
          <w:rFonts w:ascii="Calibri" w:hAnsi="Calibri"/>
          <w:sz w:val="22"/>
          <w:highlight w:val="yellow"/>
        </w:rPr>
        <w:t xml:space="preserve">🛑 </w:t>
      </w:r>
      <w:r>
        <w:rPr>
          <w:rFonts w:ascii="Calibri" w:hAnsi="Calibri"/>
          <w:b/>
          <w:sz w:val="22"/>
          <w:highlight w:val="yellow"/>
        </w:rPr>
        <w:t>BLOCKED — DELETE THIS BOX BEFORE SUBMITTING.</w:t>
      </w:r>
      <w:r>
        <w:rPr>
          <w:rFonts w:ascii="Calibri" w:hAnsi="Calibri"/>
          <w:sz w:val="22"/>
          <w:highlight w:val="yellow"/>
        </w:rPr>
        <w:t xml:space="preserve"> The 8-10-2 read count below cannot be filled until Cesar and Plasmidsaurus answer. Table 1 says 546,337 reads / 3,220 Mb; the deposited run SRR39379360 holds 272,751 spots / 1,530 Mb. The question to send Cesar is drafted in the internal section at the end of this file, under "Question to send Cesar". </w:t>
      </w:r>
      <w:r>
        <w:rPr>
          <w:rFonts w:ascii="Calibri" w:hAnsi="Calibri"/>
          <w:b/>
          <w:sz w:val="22"/>
          <w:highlight w:val="yellow"/>
        </w:rPr>
        <w:t>This is the last open item in the whole revision.</w:t>
      </w:r>
    </w:p>
    <w:p>
      <w:pPr>
        <w:jc w:val="both"/>
      </w:pPr>
      <w:r>
        <w:rPr>
          <w:rFonts w:ascii="Calibri" w:hAnsi="Calibri"/>
          <w:b/>
          <w:sz w:val="22"/>
        </w:rPr>
        <w:t>2.2 — Flow cell type and raw read count.</w:t>
      </w:r>
      <w:r>
        <w:rPr>
          <w:rFonts w:ascii="Calibri" w:hAnsi="Calibri"/>
          <w:sz w:val="22"/>
        </w:rPr>
        <w:t xml:space="preserve"> "specify which flowcell type was used for sequencing, and total number of raw reads obtained"</w:t>
      </w:r>
    </w:p>
    <w:p>
      <w:pPr>
        <w:jc w:val="both"/>
      </w:pPr>
      <w:r>
        <w:rPr>
          <w:rFonts w:ascii="Calibri" w:hAnsi="Calibri"/>
          <w:sz w:val="22"/>
        </w:rPr>
        <w:t>The instrument and flow cell are now stated in the methods; please see our responses to Reviewer #1, points 1.4 and 1.5.</w:t>
      </w:r>
    </w:p>
    <w:p>
      <w:pPr>
        <w:jc w:val="both"/>
      </w:pPr>
      <w:r>
        <w:rPr>
          <w:rFonts w:ascii="Calibri" w:hAnsi="Calibri"/>
          <w:sz w:val="22"/>
        </w:rPr>
        <w:t>On read counts: the "Total reads" row of Table 1 already reported the raw, pre-filtering read count, but the label did not say so, and the "Sequencing depth" row reported final assembly coverage, so the two could easily be read as belonging to the same stage. We have relabelled both rows and added the total bases sequenced and the raw coverage, so that the sequencing run and the finished assembly are reported separately.</w:t>
      </w:r>
    </w:p>
    <w:p>
      <w:pPr>
        <w:jc w:val="both"/>
      </w:pPr>
      <w:r>
        <w:rPr>
          <w:rFonts w:ascii="Calibri" w:hAnsi="Calibri"/>
          <w:b/>
          <w:sz w:val="22"/>
        </w:rPr>
        <w:t>Change:</w:t>
      </w:r>
      <w:r>
        <w:rPr>
          <w:rFonts w:ascii="Calibri" w:hAnsi="Calibri"/>
          <w:sz w:val="22"/>
        </w:rPr>
        <w:t xml:space="preserve"> "Total reads" relabelled "Total raw reads"; new rows "Total bases sequenced" and "Raw coverage (×)" added; "Sequencing depth (×)" relabelled "Final assembly coverage (×)". Values: 8-5-2, 559,553 reads / 3,026 Mb / 510× raw / 95× final; 9-2-1, 354,501 reads / 1,935 Mb / 313× raw / 94× final; 8-10-2, [PENDING — see internal note].</w:t>
      </w:r>
    </w:p>
    <w:p>
      <w:pPr>
        <w:spacing w:after="200"/>
        <w:pBdr>
          <w:bottom w:val="single" w:sz="6" w:space="1" w:color="BFBFBF"/>
        </w:pBdr>
      </w:pPr>
    </w:p>
    <w:p>
      <w:pPr>
        <w:jc w:val="both"/>
      </w:pPr>
      <w:r>
        <w:rPr>
          <w:rFonts w:ascii="Calibri" w:hAnsi="Calibri"/>
          <w:b/>
          <w:sz w:val="22"/>
        </w:rPr>
        <w:t>2.3 — Redundant Table 1 row.</w:t>
      </w:r>
      <w:r>
        <w:rPr>
          <w:rFonts w:ascii="Calibri" w:hAnsi="Calibri"/>
          <w:sz w:val="22"/>
        </w:rPr>
        <w:t xml:space="preserve"> "the first row in Table 1 (Isolate internal name) can be removed as it is redundant with the column headers."</w:t>
      </w:r>
    </w:p>
    <w:p>
      <w:pPr>
        <w:jc w:val="both"/>
      </w:pPr>
      <w:r>
        <w:rPr>
          <w:rFonts w:ascii="Calibri" w:hAnsi="Calibri"/>
          <w:sz w:val="22"/>
        </w:rPr>
        <w:t>Agreed and removed.</w:t>
      </w:r>
    </w:p>
    <w:p>
      <w:pPr>
        <w:jc w:val="both"/>
      </w:pPr>
      <w:r>
        <w:rPr>
          <w:rFonts w:ascii="Calibri" w:hAnsi="Calibri"/>
          <w:b/>
          <w:sz w:val="22"/>
        </w:rPr>
        <w:t>Change:</w:t>
      </w:r>
      <w:r>
        <w:rPr>
          <w:rFonts w:ascii="Calibri" w:hAnsi="Calibri"/>
          <w:sz w:val="22"/>
        </w:rPr>
        <w:t xml:space="preserve"> Table 1's "Isolate (internal name)" row has been deleted; the column headers already carry the isolate names.</w:t>
      </w:r>
    </w:p>
    <w:p>
      <w:pPr>
        <w:spacing w:after="200"/>
        <w:pBdr>
          <w:bottom w:val="single" w:sz="6" w:space="1" w:color="BFBFBF"/>
        </w:pBdr>
      </w:pPr>
    </w:p>
    <w:p>
      <w:pPr>
        <w:spacing w:before="280" w:after="120"/>
      </w:pPr>
      <w:r>
        <w:rPr>
          <w:rFonts w:ascii="Calibri" w:hAnsi="Calibri"/>
          <w:b/>
          <w:sz w:val="26"/>
        </w:rPr>
        <w:t>Additional corrections made by the authors</w:t>
      </w:r>
    </w:p>
    <w:p>
      <w:pPr>
        <w:jc w:val="both"/>
      </w:pPr>
      <w:r>
        <w:rPr>
          <w:rFonts w:ascii="Calibri" w:hAnsi="Calibri"/>
          <w:sz w:val="22"/>
        </w:rPr>
        <w:t>While preparing this revision we checked the methods section against our primary laboratory records and against the sequencing provider's technical documentation, and found several statements that did not match what was done. Apart from the library preparation, which is covered under 1.4 above, none were raised in review, but we would rather correct them now than leave them in the published record.</w:t>
      </w:r>
    </w:p>
    <w:p>
      <w:pPr>
        <w:spacing w:after="40"/>
      </w:pPr>
      <w:r>
        <w:rPr>
          <w:rFonts w:ascii="Calibri" w:hAnsi="Calibri"/>
          <w:b/>
          <w:sz w:val="22"/>
        </w:rPr>
        <w:t>A.1 — Library preparation chemistry (lines 39–40).</w:t>
      </w:r>
    </w:p>
    <w:p>
      <w:pPr>
        <w:jc w:val="both"/>
      </w:pPr>
      <w:r>
        <w:rPr>
          <w:rFonts w:ascii="Calibri" w:hAnsi="Calibri"/>
          <w:sz w:val="22"/>
        </w:rPr>
        <w:t>The manuscript described the library as prepared with the ONT ligation sequencing kit v14. The provider's whole-genome service in fact uses an amplification-free v14 preparation based on tagmentation, not ligation, and the catalogue number given in the submitted manuscript ("SQK0LSK1114") is not a valid Oxford Nanopore code in any case. This is the same correction described under Reviewer #1, point 1.4.</w:t>
      </w:r>
    </w:p>
    <w:p>
      <w:pPr>
        <w:jc w:val="both"/>
      </w:pPr>
      <w:r>
        <w:rPr>
          <w:rFonts w:ascii="Calibri" w:hAnsi="Calibri"/>
          <w:b/>
          <w:sz w:val="22"/>
        </w:rPr>
        <w:t>Change:</w:t>
      </w:r>
      <w:r>
        <w:rPr>
          <w:rFonts w:ascii="Calibri" w:hAnsi="Calibri"/>
          <w:sz w:val="22"/>
        </w:rPr>
        <w:t xml:space="preserve"> the ligation-kit description replaced by the tagmentation-based description given under 1.4.</w:t>
      </w:r>
    </w:p>
    <w:p>
      <w:pPr>
        <w:spacing w:after="200"/>
        <w:pBdr>
          <w:bottom w:val="single" w:sz="6" w:space="1" w:color="BFBFBF"/>
        </w:pBdr>
      </w:pPr>
    </w:p>
    <w:p>
      <w:pPr>
        <w:spacing w:after="40"/>
      </w:pPr>
      <w:r>
        <w:rPr>
          <w:rFonts w:ascii="Calibri" w:hAnsi="Calibri"/>
          <w:b/>
          <w:sz w:val="22"/>
        </w:rPr>
        <w:t>A.2 — Centrifugation units (line 35).</w:t>
      </w:r>
    </w:p>
    <w:p>
      <w:pPr>
        <w:jc w:val="both"/>
      </w:pPr>
      <w:r>
        <w:rPr>
          <w:rFonts w:ascii="Calibri" w:hAnsi="Calibri"/>
          <w:sz w:val="22"/>
        </w:rPr>
        <w:t>The manuscript states "pelleted at 3000 g for 15 minutes"; the recorded value is 3000 rpm, which is not equivalent to 3000 × g.</w:t>
      </w:r>
    </w:p>
    <w:p>
      <w:pPr>
        <w:jc w:val="both"/>
      </w:pPr>
      <w:r>
        <w:rPr>
          <w:rFonts w:ascii="Calibri" w:hAnsi="Calibri"/>
          <w:b/>
          <w:sz w:val="22"/>
        </w:rPr>
        <w:t>Change:</w:t>
      </w:r>
      <w:r>
        <w:rPr>
          <w:rFonts w:ascii="Calibri" w:hAnsi="Calibri"/>
          <w:sz w:val="22"/>
        </w:rPr>
        <w:t xml:space="preserve"> revised to "pelleted at 3000 rpm for 15 minutes".</w:t>
      </w:r>
    </w:p>
    <w:p>
      <w:pPr>
        <w:spacing w:after="200"/>
        <w:pBdr>
          <w:bottom w:val="single" w:sz="6" w:space="1" w:color="BFBFBF"/>
        </w:pBdr>
      </w:pPr>
    </w:p>
    <w:p>
      <w:pPr>
        <w:spacing w:after="40"/>
      </w:pPr>
      <w:r>
        <w:rPr>
          <w:rFonts w:ascii="Calibri" w:hAnsi="Calibri"/>
          <w:b/>
          <w:sz w:val="22"/>
        </w:rPr>
        <w:t>A.3 — Wash steps (lines 35–36).</w:t>
      </w:r>
    </w:p>
    <w:p>
      <w:pPr>
        <w:jc w:val="both"/>
      </w:pPr>
      <w:r>
        <w:rPr>
          <w:rFonts w:ascii="Calibri" w:hAnsi="Calibri"/>
          <w:sz w:val="22"/>
        </w:rPr>
        <w:t>The manuscript states the pellet was "washed twice with PBS"; the pellet was in fact washed twice with 5 mL PBS and then once more with 1.5 mL PBS on transfer.</w:t>
      </w:r>
    </w:p>
    <w:p>
      <w:pPr>
        <w:jc w:val="both"/>
      </w:pPr>
      <w:r>
        <w:rPr>
          <w:rFonts w:ascii="Calibri" w:hAnsi="Calibri"/>
          <w:b/>
          <w:sz w:val="22"/>
        </w:rPr>
        <w:t>Change:</w:t>
      </w:r>
      <w:r>
        <w:rPr>
          <w:rFonts w:ascii="Calibri" w:hAnsi="Calibri"/>
          <w:sz w:val="22"/>
        </w:rPr>
        <w:t xml:space="preserve"> revised to "washed twice with 5 mL PBS and once with 1.5 mL PBS".</w:t>
      </w:r>
    </w:p>
    <w:p>
      <w:pPr>
        <w:spacing w:after="200"/>
        <w:pBdr>
          <w:bottom w:val="single" w:sz="6" w:space="1" w:color="BFBFBF"/>
        </w:pBdr>
      </w:pPr>
    </w:p>
    <w:p>
      <w:pPr>
        <w:spacing w:after="40"/>
      </w:pPr>
      <w:r>
        <w:rPr>
          <w:rFonts w:ascii="Calibri" w:hAnsi="Calibri"/>
          <w:b/>
          <w:sz w:val="22"/>
        </w:rPr>
        <w:t>A.4 — Read filtering parameters (lines 43–44).</w:t>
      </w:r>
    </w:p>
    <w:p>
      <w:pPr>
        <w:jc w:val="both"/>
      </w:pPr>
      <w:r>
        <w:rPr>
          <w:rFonts w:ascii="Calibri" w:hAnsi="Calibri"/>
          <w:sz w:val="22"/>
        </w:rPr>
        <w:t xml:space="preserve">The manuscript specifies Filtlong with the flags "--min_length 300 --keep_percent 95". The provider's documentation describes basecalling with Dorado v4.3 super-accurate model and default Q10 quality filtering, followed by removal of the poorest 5% of reads with Filtlong. The </w:t>
      </w:r>
      <w:r>
        <w:rPr>
          <w:rFonts w:ascii="Consolas" w:hAnsi="Consolas"/>
          <w:sz w:val="22"/>
        </w:rPr>
        <w:t>--keep_percent 95</w:t>
      </w:r>
      <w:r>
        <w:rPr>
          <w:rFonts w:ascii="Calibri" w:hAnsi="Calibri"/>
          <w:sz w:val="22"/>
        </w:rPr>
        <w:t xml:space="preserve"> flag corresponds to that step; the </w:t>
      </w:r>
      <w:r>
        <w:rPr>
          <w:rFonts w:ascii="Consolas" w:hAnsi="Consolas"/>
          <w:sz w:val="22"/>
        </w:rPr>
        <w:t>--min_length 300</w:t>
      </w:r>
      <w:r>
        <w:rPr>
          <w:rFonts w:ascii="Calibri" w:hAnsi="Calibri"/>
          <w:sz w:val="22"/>
        </w:rPr>
        <w:t xml:space="preserve"> flag and the Q10 basecalling filter are not currently reflected in the manuscript in a way that matches the provider's description.</w:t>
      </w:r>
    </w:p>
    <w:p>
      <w:pPr>
        <w:jc w:val="both"/>
      </w:pPr>
      <w:r>
        <w:rPr>
          <w:rFonts w:ascii="Calibri" w:hAnsi="Calibri"/>
          <w:b/>
          <w:sz w:val="22"/>
        </w:rPr>
        <w:t>Change:</w:t>
      </w:r>
      <w:r>
        <w:rPr>
          <w:rFonts w:ascii="Calibri" w:hAnsi="Calibri"/>
          <w:sz w:val="22"/>
        </w:rPr>
        <w:t xml:space="preserve"> revised to "Basecalling was performed with Dorado using the super-accuracy (sup) basecalling model (v4.3.0 [3]) with default Q10 quality filtering, and the poorest 5% of reads were removed with Filtlong (v0.2.1 [4])."</w:t>
      </w:r>
    </w:p>
    <w:p>
      <w:pPr>
        <w:spacing w:after="200"/>
        <w:pBdr>
          <w:bottom w:val="single" w:sz="6" w:space="1" w:color="BFBFBF"/>
        </w:pBdr>
      </w:pPr>
    </w:p>
    <w:p>
      <w:pPr>
        <w:spacing w:after="40"/>
      </w:pPr>
      <w:r>
        <w:rPr>
          <w:rFonts w:ascii="Calibri" w:hAnsi="Calibri"/>
          <w:b/>
          <w:sz w:val="22"/>
        </w:rPr>
        <w:t>A.5 — Data availability statement (lines 54–55).</w:t>
      </w:r>
    </w:p>
    <w:p>
      <w:pPr>
        <w:jc w:val="both"/>
      </w:pPr>
      <w:r>
        <w:rPr>
          <w:rFonts w:ascii="Calibri" w:hAnsi="Calibri"/>
          <w:sz w:val="22"/>
        </w:rPr>
        <w:t>The sentence has been corrected for number agreement and the repository named explicitly.</w:t>
      </w:r>
    </w:p>
    <w:p>
      <w:pPr>
        <w:jc w:val="both"/>
      </w:pPr>
      <w:r>
        <w:rPr>
          <w:rFonts w:ascii="Calibri" w:hAnsi="Calibri"/>
          <w:b/>
          <w:sz w:val="22"/>
        </w:rPr>
        <w:t>Change:</w:t>
      </w:r>
      <w:r>
        <w:rPr>
          <w:rFonts w:ascii="Calibri" w:hAnsi="Calibri"/>
          <w:sz w:val="22"/>
        </w:rPr>
        <w:t xml:space="preserve"> revised to "The complete genomes of our isolates and the raw sequencing data are available under BioProject PRJNA1482863 and PRJNA1483221 respectively. Individual accession numbers are listed in Table 1."</w:t>
      </w:r>
    </w:p>
    <w:p>
      <w:pPr>
        <w:spacing w:after="200"/>
        <w:pBdr>
          <w:bottom w:val="single" w:sz="6" w:space="1" w:color="BFBFBF"/>
        </w:pBdr>
      </w:pPr>
    </w:p>
    <w:p>
      <w:pPr>
        <w:jc w:val="both"/>
      </w:pPr>
      <w:r>
        <w:rPr>
          <w:rFonts w:ascii="Calibri" w:hAnsi="Calibri"/>
          <w:sz w:val="22"/>
        </w:rPr>
        <w:t>To accommodate the additions requested above while remaining within the 500-word limit for the Announcement section, we have condensed several passages that carry no information required by the MRA checklist: the description of the sampling tool and site listing, the phrasing of the carbon and nitrogen amendments, the two plating steps, the overnight LB step, and the closing sentence pointing to Table 1. Media compositions, catalogue numbers, and all software names and version numbers are retained in full. The revised Announcement is 494 words; the abstract is unchanged at 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