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9698AF" w14:textId="1CB46C26" w:rsidR="00351F5D" w:rsidRDefault="00351F5D" w:rsidP="00351F5D">
      <w:pPr>
        <w:spacing w:after="0"/>
        <w:jc w:val="both"/>
        <w:rPr>
          <w:b/>
          <w:bCs/>
          <w:sz w:val="20"/>
          <w:szCs w:val="20"/>
        </w:rPr>
      </w:pPr>
      <w:bookmarkStart w:id="0" w:name="OLE_LINK23"/>
      <w:r w:rsidRPr="00351F5D">
        <w:rPr>
          <w:b/>
          <w:bCs/>
          <w:sz w:val="20"/>
          <w:szCs w:val="20"/>
        </w:rPr>
        <w:t xml:space="preserve">The Evolution of Capsule </w:t>
      </w:r>
      <w:bookmarkStart w:id="1" w:name="OLE_LINK22"/>
      <w:r w:rsidRPr="00351F5D">
        <w:rPr>
          <w:b/>
          <w:bCs/>
          <w:sz w:val="20"/>
          <w:szCs w:val="20"/>
        </w:rPr>
        <w:t xml:space="preserve">Degradation as a </w:t>
      </w:r>
      <w:r w:rsidR="0070391E">
        <w:rPr>
          <w:b/>
          <w:bCs/>
          <w:sz w:val="20"/>
          <w:szCs w:val="20"/>
        </w:rPr>
        <w:t xml:space="preserve">Determinant </w:t>
      </w:r>
      <w:r w:rsidRPr="00351F5D">
        <w:rPr>
          <w:b/>
          <w:bCs/>
          <w:sz w:val="20"/>
          <w:szCs w:val="20"/>
        </w:rPr>
        <w:t>of Phage Host Range</w:t>
      </w:r>
    </w:p>
    <w:p w14:paraId="166DA185" w14:textId="77777777" w:rsidR="00351F5D" w:rsidRPr="00351F5D" w:rsidRDefault="00351F5D" w:rsidP="00351F5D">
      <w:pPr>
        <w:spacing w:after="0"/>
        <w:jc w:val="both"/>
        <w:rPr>
          <w:b/>
          <w:bCs/>
          <w:sz w:val="20"/>
          <w:szCs w:val="20"/>
        </w:rPr>
      </w:pPr>
    </w:p>
    <w:p w14:paraId="7DFEFD3D" w14:textId="64DE7BF5" w:rsidR="00351F5D" w:rsidRPr="00351F5D" w:rsidRDefault="00351F5D" w:rsidP="00351F5D">
      <w:pPr>
        <w:spacing w:after="0"/>
        <w:jc w:val="both"/>
        <w:rPr>
          <w:sz w:val="20"/>
          <w:szCs w:val="20"/>
          <w:u w:val="single"/>
        </w:rPr>
      </w:pPr>
      <w:r w:rsidRPr="00351F5D">
        <w:rPr>
          <w:sz w:val="20"/>
          <w:szCs w:val="20"/>
          <w:u w:val="single"/>
        </w:rPr>
        <w:t>The central hypothesis of our work is tha</w:t>
      </w:r>
      <w:r>
        <w:rPr>
          <w:sz w:val="20"/>
          <w:szCs w:val="20"/>
          <w:u w:val="single"/>
        </w:rPr>
        <w:t>t</w:t>
      </w:r>
      <w:r w:rsidRPr="00351F5D">
        <w:rPr>
          <w:sz w:val="20"/>
          <w:szCs w:val="20"/>
          <w:u w:val="single"/>
        </w:rPr>
        <w:t xml:space="preserve"> variation in phage depolymerase substrate specificity constitutes a distinct axis of host-range evolution, and the narrow specificity of </w:t>
      </w:r>
      <w:r w:rsidR="0070391E">
        <w:rPr>
          <w:sz w:val="20"/>
          <w:szCs w:val="20"/>
          <w:u w:val="single"/>
        </w:rPr>
        <w:t>extant</w:t>
      </w:r>
      <w:r w:rsidRPr="00351F5D">
        <w:rPr>
          <w:sz w:val="20"/>
          <w:szCs w:val="20"/>
          <w:u w:val="single"/>
        </w:rPr>
        <w:t xml:space="preserve"> enzymes is a derived state arising from broader ancestral activity.</w:t>
      </w:r>
    </w:p>
    <w:p w14:paraId="2F1EA36B" w14:textId="03682D92" w:rsidR="00351F5D" w:rsidRPr="00351F5D" w:rsidRDefault="00351F5D" w:rsidP="00351F5D">
      <w:pPr>
        <w:spacing w:after="0"/>
        <w:jc w:val="both"/>
        <w:rPr>
          <w:sz w:val="20"/>
          <w:szCs w:val="20"/>
        </w:rPr>
      </w:pPr>
      <w:r w:rsidRPr="00351F5D">
        <w:rPr>
          <w:b/>
          <w:bCs/>
          <w:sz w:val="20"/>
          <w:szCs w:val="20"/>
        </w:rPr>
        <w:t>Background and significance:</w:t>
      </w:r>
      <w:r>
        <w:rPr>
          <w:sz w:val="20"/>
          <w:szCs w:val="20"/>
        </w:rPr>
        <w:t xml:space="preserve"> </w:t>
      </w:r>
      <w:r w:rsidRPr="00351F5D">
        <w:rPr>
          <w:sz w:val="20"/>
          <w:szCs w:val="20"/>
        </w:rPr>
        <w:t>Phage</w:t>
      </w:r>
      <w:r>
        <w:rPr>
          <w:sz w:val="20"/>
          <w:szCs w:val="20"/>
        </w:rPr>
        <w:t>-</w:t>
      </w:r>
      <w:r w:rsidRPr="00351F5D">
        <w:rPr>
          <w:sz w:val="20"/>
          <w:szCs w:val="20"/>
        </w:rPr>
        <w:t xml:space="preserve">host coevolution is usually modeled through receptor-binding proteins and their bacterial receptors, or through the arms race between defense systems and their phage-encoded antagonists. Both operate at or after adsorption. In capsulated bacteria, however, an earlier filter applies: the extracellular polysaccharide layer must be enzymatically </w:t>
      </w:r>
      <w:r w:rsidR="0070391E">
        <w:rPr>
          <w:sz w:val="20"/>
          <w:szCs w:val="20"/>
        </w:rPr>
        <w:t>degraded</w:t>
      </w:r>
      <w:r w:rsidRPr="00351F5D">
        <w:rPr>
          <w:sz w:val="20"/>
          <w:szCs w:val="20"/>
        </w:rPr>
        <w:t xml:space="preserve"> before receptor engagement is possible. If depolymerase substrate breadth constrains which hosts a phage can reach, then selection on these </w:t>
      </w:r>
      <w:proofErr w:type="gramStart"/>
      <w:r w:rsidRPr="00351F5D">
        <w:rPr>
          <w:sz w:val="20"/>
          <w:szCs w:val="20"/>
        </w:rPr>
        <w:t>enzymes</w:t>
      </w:r>
      <w:proofErr w:type="gramEnd"/>
      <w:r w:rsidRPr="00351F5D">
        <w:rPr>
          <w:sz w:val="20"/>
          <w:szCs w:val="20"/>
        </w:rPr>
        <w:t xml:space="preserve"> shapes host range independently of receptor specificity</w:t>
      </w:r>
      <w:r>
        <w:rPr>
          <w:sz w:val="20"/>
          <w:szCs w:val="20"/>
        </w:rPr>
        <w:t>,</w:t>
      </w:r>
      <w:r w:rsidRPr="00351F5D">
        <w:rPr>
          <w:sz w:val="20"/>
          <w:szCs w:val="20"/>
        </w:rPr>
        <w:t xml:space="preserve"> and the evolutionary trajectory of capsule degradation becomes a component of phage host-range evolution that current models do not capture. </w:t>
      </w:r>
      <w:r w:rsidR="0070391E">
        <w:rPr>
          <w:sz w:val="20"/>
          <w:szCs w:val="20"/>
        </w:rPr>
        <w:t xml:space="preserve">Our work will include depolymerases that are both part of the RBP and independent CDS, which will directly address different evolutionary trajectories from recombination </w:t>
      </w:r>
      <w:r w:rsidR="0070391E">
        <w:rPr>
          <w:sz w:val="20"/>
          <w:szCs w:val="20"/>
        </w:rPr>
        <w:t xml:space="preserve">to </w:t>
      </w:r>
      <w:r w:rsidR="0070391E">
        <w:rPr>
          <w:sz w:val="20"/>
          <w:szCs w:val="20"/>
        </w:rPr>
        <w:t xml:space="preserve">gradual changes. </w:t>
      </w:r>
    </w:p>
    <w:p w14:paraId="2F02DF14" w14:textId="07B52770" w:rsidR="00351F5D" w:rsidRDefault="00351F5D" w:rsidP="00351F5D">
      <w:pPr>
        <w:spacing w:after="0"/>
        <w:jc w:val="both"/>
        <w:rPr>
          <w:sz w:val="20"/>
          <w:szCs w:val="20"/>
          <w:u w:val="single"/>
        </w:rPr>
      </w:pPr>
      <w:r w:rsidRPr="000760C3">
        <w:rPr>
          <w:b/>
          <w:bCs/>
          <w:sz w:val="20"/>
          <w:szCs w:val="20"/>
        </w:rPr>
        <w:t xml:space="preserve">Preliminary work. </w:t>
      </w:r>
      <w:r w:rsidRPr="000760C3">
        <w:rPr>
          <w:sz w:val="20"/>
          <w:szCs w:val="20"/>
        </w:rPr>
        <w:t xml:space="preserve">We have isolated </w:t>
      </w:r>
      <w:r w:rsidRPr="000760C3">
        <w:rPr>
          <w:i/>
          <w:iCs/>
          <w:sz w:val="20"/>
          <w:szCs w:val="20"/>
        </w:rPr>
        <w:t xml:space="preserve">Pseudomonas </w:t>
      </w:r>
      <w:proofErr w:type="spellStart"/>
      <w:r w:rsidRPr="000760C3">
        <w:rPr>
          <w:i/>
          <w:iCs/>
          <w:sz w:val="20"/>
          <w:szCs w:val="20"/>
        </w:rPr>
        <w:t>capeferrum</w:t>
      </w:r>
      <w:proofErr w:type="spellEnd"/>
      <w:r w:rsidRPr="000760C3">
        <w:rPr>
          <w:sz w:val="20"/>
          <w:szCs w:val="20"/>
        </w:rPr>
        <w:t xml:space="preserve"> and </w:t>
      </w:r>
      <w:r w:rsidRPr="000760C3">
        <w:rPr>
          <w:i/>
          <w:iCs/>
          <w:sz w:val="20"/>
          <w:szCs w:val="20"/>
        </w:rPr>
        <w:t>P. putida</w:t>
      </w:r>
      <w:r w:rsidRPr="000760C3">
        <w:rPr>
          <w:sz w:val="20"/>
          <w:szCs w:val="20"/>
        </w:rPr>
        <w:t xml:space="preserve"> together with their </w:t>
      </w:r>
      <w:r w:rsidR="0070391E">
        <w:rPr>
          <w:sz w:val="20"/>
          <w:szCs w:val="20"/>
        </w:rPr>
        <w:t>cooccurring</w:t>
      </w:r>
      <w:r w:rsidRPr="000760C3">
        <w:rPr>
          <w:sz w:val="20"/>
          <w:szCs w:val="20"/>
        </w:rPr>
        <w:t xml:space="preserve"> phages</w:t>
      </w:r>
      <w:r>
        <w:rPr>
          <w:sz w:val="20"/>
          <w:szCs w:val="20"/>
        </w:rPr>
        <w:t xml:space="preserve"> (California Botanic Garden, The Claremont Colleges)</w:t>
      </w:r>
      <w:r w:rsidRPr="000760C3">
        <w:rPr>
          <w:sz w:val="20"/>
          <w:szCs w:val="20"/>
        </w:rPr>
        <w:t>, sequenced the isolates and phage genomes</w:t>
      </w:r>
      <w:r>
        <w:rPr>
          <w:sz w:val="20"/>
          <w:szCs w:val="20"/>
        </w:rPr>
        <w:t xml:space="preserve"> (</w:t>
      </w:r>
      <w:r w:rsidR="0070391E">
        <w:rPr>
          <w:sz w:val="20"/>
          <w:szCs w:val="20"/>
        </w:rPr>
        <w:t xml:space="preserve">Ongoing effort: </w:t>
      </w:r>
      <w:r>
        <w:rPr>
          <w:sz w:val="20"/>
          <w:szCs w:val="20"/>
        </w:rPr>
        <w:t>Chen et al., 2026, MRA)</w:t>
      </w:r>
      <w:r w:rsidRPr="000760C3">
        <w:rPr>
          <w:sz w:val="20"/>
          <w:szCs w:val="20"/>
        </w:rPr>
        <w:t>, and identified candidate depolymerase genes</w:t>
      </w:r>
      <w:r w:rsidR="0070391E">
        <w:rPr>
          <w:sz w:val="20"/>
          <w:szCs w:val="20"/>
        </w:rPr>
        <w:t xml:space="preserve"> (Both as part of the RBP and as independent ORFs)</w:t>
      </w:r>
      <w:r w:rsidRPr="000760C3">
        <w:rPr>
          <w:sz w:val="20"/>
          <w:szCs w:val="20"/>
        </w:rPr>
        <w:t>. Enzyme expression and biochemical characterization against a panel of complex carbohydrates are underway, as is cloning of the corresponding RBPs</w:t>
      </w:r>
      <w:r w:rsidRPr="000760C3">
        <w:rPr>
          <w:sz w:val="20"/>
          <w:szCs w:val="20"/>
          <w:u w:val="single"/>
        </w:rPr>
        <w:t>. The system is established in our hands and does not depend on developing new isolation or sequencing</w:t>
      </w:r>
      <w:r w:rsidR="0070391E">
        <w:rPr>
          <w:sz w:val="20"/>
          <w:szCs w:val="20"/>
          <w:u w:val="single"/>
        </w:rPr>
        <w:t xml:space="preserve">, and </w:t>
      </w:r>
      <w:proofErr w:type="gramStart"/>
      <w:r w:rsidR="0070391E">
        <w:rPr>
          <w:sz w:val="20"/>
          <w:szCs w:val="20"/>
          <w:u w:val="single"/>
        </w:rPr>
        <w:t>its</w:t>
      </w:r>
      <w:proofErr w:type="gramEnd"/>
      <w:r w:rsidR="0070391E">
        <w:rPr>
          <w:sz w:val="20"/>
          <w:szCs w:val="20"/>
          <w:u w:val="single"/>
        </w:rPr>
        <w:t xml:space="preserve"> ready to expand.</w:t>
      </w:r>
    </w:p>
    <w:p w14:paraId="4CB08BEB" w14:textId="7CFD0BC2" w:rsidR="00351F5D" w:rsidRPr="00351F5D" w:rsidRDefault="00351F5D" w:rsidP="00351F5D">
      <w:pPr>
        <w:spacing w:after="0"/>
        <w:jc w:val="both"/>
        <w:rPr>
          <w:sz w:val="20"/>
          <w:szCs w:val="20"/>
        </w:rPr>
      </w:pPr>
      <w:r>
        <w:rPr>
          <w:sz w:val="20"/>
          <w:szCs w:val="20"/>
        </w:rPr>
        <w:t>Our work has the following aims:</w:t>
      </w:r>
    </w:p>
    <w:p w14:paraId="600DFC22" w14:textId="1A296EFF" w:rsidR="00351F5D" w:rsidRPr="00351F5D" w:rsidRDefault="00351F5D" w:rsidP="00351F5D">
      <w:pPr>
        <w:spacing w:after="0"/>
        <w:jc w:val="both"/>
        <w:rPr>
          <w:sz w:val="20"/>
          <w:szCs w:val="20"/>
        </w:rPr>
      </w:pPr>
      <w:r w:rsidRPr="00351F5D">
        <w:rPr>
          <w:b/>
          <w:bCs/>
          <w:sz w:val="20"/>
          <w:szCs w:val="20"/>
        </w:rPr>
        <w:t>Aim 1. Reconstruct the evolutionary history of depolymerase specificity.</w:t>
      </w:r>
      <w:r w:rsidRPr="00351F5D">
        <w:rPr>
          <w:sz w:val="20"/>
          <w:szCs w:val="20"/>
        </w:rPr>
        <w:t xml:space="preserve"> Assemble a depolymerase sequence set spanning related phages, </w:t>
      </w:r>
      <w:r w:rsidRPr="000760C3">
        <w:rPr>
          <w:sz w:val="20"/>
          <w:szCs w:val="20"/>
        </w:rPr>
        <w:t>expanding sequence diversity through targeted metagenomic sampling of</w:t>
      </w:r>
      <w:r>
        <w:rPr>
          <w:sz w:val="20"/>
          <w:szCs w:val="20"/>
        </w:rPr>
        <w:t xml:space="preserve"> the source of isolation, </w:t>
      </w:r>
      <w:r w:rsidRPr="00351F5D">
        <w:rPr>
          <w:sz w:val="20"/>
          <w:szCs w:val="20"/>
        </w:rPr>
        <w:t xml:space="preserve">build a phylogeny, and infer ancestral states with explicit treatment of posterior probability, alternative reconstructions at each node, and </w:t>
      </w:r>
      <w:r w:rsidRPr="00351F5D">
        <w:rPr>
          <w:sz w:val="20"/>
          <w:szCs w:val="20"/>
          <w:u w:val="single"/>
        </w:rPr>
        <w:t>sensitivity to alignment</w:t>
      </w:r>
      <w:r w:rsidRPr="00351F5D">
        <w:rPr>
          <w:sz w:val="20"/>
          <w:szCs w:val="20"/>
        </w:rPr>
        <w:t xml:space="preserve"> and model choice. Test for signatures of diversifying selection at putative substrate-contact positions.</w:t>
      </w:r>
    </w:p>
    <w:p w14:paraId="5E915831" w14:textId="2611706D" w:rsidR="00351F5D" w:rsidRPr="00351F5D" w:rsidRDefault="00351F5D" w:rsidP="00351F5D">
      <w:pPr>
        <w:spacing w:after="0"/>
        <w:jc w:val="both"/>
        <w:rPr>
          <w:sz w:val="20"/>
          <w:szCs w:val="20"/>
        </w:rPr>
      </w:pPr>
      <w:r w:rsidRPr="00351F5D">
        <w:rPr>
          <w:b/>
          <w:bCs/>
          <w:sz w:val="20"/>
          <w:szCs w:val="20"/>
        </w:rPr>
        <w:t>Aim 2.</w:t>
      </w:r>
      <w:r>
        <w:rPr>
          <w:b/>
          <w:bCs/>
          <w:sz w:val="20"/>
          <w:szCs w:val="20"/>
        </w:rPr>
        <w:t xml:space="preserve"> </w:t>
      </w:r>
      <w:r w:rsidRPr="00351F5D">
        <w:rPr>
          <w:b/>
          <w:bCs/>
          <w:sz w:val="20"/>
          <w:szCs w:val="20"/>
        </w:rPr>
        <w:t>Phenotype extant and resurrected ancestral enzymes.</w:t>
      </w:r>
      <w:r w:rsidRPr="00351F5D">
        <w:rPr>
          <w:sz w:val="20"/>
          <w:szCs w:val="20"/>
        </w:rPr>
        <w:t xml:space="preserve"> Express contemporary and inferred ancestral depolymerases and assay them quantitatively against a defined panel of capsular polysaccharides</w:t>
      </w:r>
      <w:r w:rsidR="0070391E">
        <w:rPr>
          <w:sz w:val="20"/>
          <w:szCs w:val="20"/>
        </w:rPr>
        <w:t xml:space="preserve"> (quantitatively measuring reducing sugars, and qualitatively with spot tests)</w:t>
      </w:r>
      <w:r w:rsidRPr="00351F5D">
        <w:rPr>
          <w:sz w:val="20"/>
          <w:szCs w:val="20"/>
        </w:rPr>
        <w:t>, yielding a specificity matrix mapped onto the phylogeny. A broader substrate</w:t>
      </w:r>
      <w:r w:rsidR="0070391E">
        <w:rPr>
          <w:sz w:val="20"/>
          <w:szCs w:val="20"/>
        </w:rPr>
        <w:t xml:space="preserve"> (or host derived polysaccharides)</w:t>
      </w:r>
      <w:r w:rsidRPr="00351F5D">
        <w:rPr>
          <w:sz w:val="20"/>
          <w:szCs w:val="20"/>
        </w:rPr>
        <w:t xml:space="preserve"> range at deeper nodes would indicate that specialization is derived; the alternative outcome, ancestral narrowness with repeated independent broadening, is</w:t>
      </w:r>
      <w:r>
        <w:rPr>
          <w:sz w:val="20"/>
          <w:szCs w:val="20"/>
        </w:rPr>
        <w:t xml:space="preserve"> also informative</w:t>
      </w:r>
      <w:r w:rsidR="0070391E">
        <w:rPr>
          <w:sz w:val="20"/>
          <w:szCs w:val="20"/>
        </w:rPr>
        <w:t>.</w:t>
      </w:r>
    </w:p>
    <w:p w14:paraId="4362A2CC" w14:textId="0612C212" w:rsidR="0070391E" w:rsidRPr="00351F5D" w:rsidRDefault="00351F5D" w:rsidP="0070391E">
      <w:pPr>
        <w:spacing w:after="0"/>
        <w:jc w:val="both"/>
        <w:rPr>
          <w:sz w:val="20"/>
          <w:szCs w:val="20"/>
        </w:rPr>
      </w:pPr>
      <w:r w:rsidRPr="00351F5D">
        <w:rPr>
          <w:b/>
          <w:bCs/>
          <w:sz w:val="20"/>
          <w:szCs w:val="20"/>
        </w:rPr>
        <w:t>Aim 3. Relate enzyme specificity to realized host range.</w:t>
      </w:r>
      <w:r>
        <w:rPr>
          <w:sz w:val="20"/>
          <w:szCs w:val="20"/>
        </w:rPr>
        <w:t xml:space="preserve"> </w:t>
      </w:r>
      <w:r w:rsidRPr="00351F5D">
        <w:rPr>
          <w:sz w:val="20"/>
          <w:szCs w:val="20"/>
        </w:rPr>
        <w:t>Determine host range across a bacterial panel and test whether depolymerase activity predicts it, including whether supplying enzyme in trans extends receptor-binding protein attachment to otherwise inaccessible hosts</w:t>
      </w:r>
      <w:r w:rsidR="0070391E">
        <w:rPr>
          <w:sz w:val="20"/>
          <w:szCs w:val="20"/>
        </w:rPr>
        <w:t>, making the enzyme necessary but not sufficient</w:t>
      </w:r>
      <w:r w:rsidRPr="00351F5D">
        <w:rPr>
          <w:sz w:val="20"/>
          <w:szCs w:val="20"/>
        </w:rPr>
        <w:t>.</w:t>
      </w:r>
      <w:r w:rsidR="0070391E" w:rsidRPr="0070391E">
        <w:rPr>
          <w:sz w:val="20"/>
          <w:szCs w:val="20"/>
        </w:rPr>
        <w:t xml:space="preserve"> </w:t>
      </w:r>
    </w:p>
    <w:p w14:paraId="26173C96" w14:textId="0A3D57B1" w:rsidR="00351F5D" w:rsidRPr="00351F5D" w:rsidRDefault="00351F5D" w:rsidP="00351F5D">
      <w:pPr>
        <w:spacing w:after="0"/>
        <w:jc w:val="both"/>
        <w:rPr>
          <w:sz w:val="20"/>
          <w:szCs w:val="20"/>
        </w:rPr>
      </w:pPr>
      <w:r w:rsidRPr="00351F5D">
        <w:rPr>
          <w:sz w:val="20"/>
          <w:szCs w:val="20"/>
          <w:u w:val="single"/>
        </w:rPr>
        <w:t>The project combines phylogenetic inference with experimental resurrection and phenotyping of ancestral proteins, addressing how selection has shaped a trait that mediates a species interaction</w:t>
      </w:r>
      <w:r w:rsidRPr="00351F5D">
        <w:rPr>
          <w:sz w:val="20"/>
          <w:szCs w:val="20"/>
        </w:rPr>
        <w:t xml:space="preserve">. </w:t>
      </w:r>
    </w:p>
    <w:p w14:paraId="09B74BC7" w14:textId="18ABD00F" w:rsidR="00351F5D" w:rsidRPr="000760C3" w:rsidRDefault="00351F5D" w:rsidP="00351F5D">
      <w:pPr>
        <w:spacing w:after="0"/>
        <w:jc w:val="both"/>
        <w:rPr>
          <w:sz w:val="20"/>
          <w:szCs w:val="20"/>
        </w:rPr>
      </w:pPr>
      <w:r w:rsidRPr="000760C3">
        <w:rPr>
          <w:b/>
          <w:bCs/>
          <w:sz w:val="20"/>
          <w:szCs w:val="20"/>
        </w:rPr>
        <w:t>Training, broader impacts.</w:t>
      </w:r>
      <w:r>
        <w:rPr>
          <w:sz w:val="20"/>
          <w:szCs w:val="20"/>
        </w:rPr>
        <w:t xml:space="preserve"> This project would continue training 5 undergrads per year with </w:t>
      </w:r>
      <w:proofErr w:type="spellStart"/>
      <w:r>
        <w:rPr>
          <w:sz w:val="20"/>
          <w:szCs w:val="20"/>
        </w:rPr>
        <w:t>well defined</w:t>
      </w:r>
      <w:proofErr w:type="spellEnd"/>
      <w:r>
        <w:rPr>
          <w:sz w:val="20"/>
          <w:szCs w:val="20"/>
        </w:rPr>
        <w:t xml:space="preserve"> units of work (enzyme, reconstruction, biochemistry) with </w:t>
      </w:r>
      <w:proofErr w:type="spellStart"/>
      <w:r>
        <w:rPr>
          <w:sz w:val="20"/>
          <w:szCs w:val="20"/>
        </w:rPr>
        <w:t>coauthorship</w:t>
      </w:r>
      <w:proofErr w:type="spellEnd"/>
      <w:r>
        <w:rPr>
          <w:sz w:val="20"/>
          <w:szCs w:val="20"/>
        </w:rPr>
        <w:t xml:space="preserve"> (which has already been achieved since part of the genomes have been announced, Chen et al., 2026) and meeting presentations. Currently, the early stages of this work are being presented at </w:t>
      </w:r>
      <w:proofErr w:type="spellStart"/>
      <w:r>
        <w:rPr>
          <w:sz w:val="20"/>
          <w:szCs w:val="20"/>
        </w:rPr>
        <w:t>iGEM</w:t>
      </w:r>
      <w:proofErr w:type="spellEnd"/>
      <w:r>
        <w:rPr>
          <w:sz w:val="20"/>
          <w:szCs w:val="20"/>
        </w:rPr>
        <w:t xml:space="preserve"> 2026, providing track record of recruitment and student training.</w:t>
      </w:r>
    </w:p>
    <w:bookmarkEnd w:id="0"/>
    <w:bookmarkEnd w:id="1"/>
    <w:p w14:paraId="7AB07A29" w14:textId="5E892159" w:rsidR="00A16546" w:rsidRPr="00351F5D" w:rsidRDefault="00A16546" w:rsidP="00351F5D">
      <w:pPr>
        <w:spacing w:after="0"/>
        <w:rPr>
          <w:sz w:val="20"/>
          <w:szCs w:val="20"/>
        </w:rPr>
      </w:pPr>
    </w:p>
    <w:sectPr w:rsidR="00A16546" w:rsidRPr="00351F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F5D"/>
    <w:rsid w:val="00351F5D"/>
    <w:rsid w:val="0057616C"/>
    <w:rsid w:val="0070391E"/>
    <w:rsid w:val="00A16546"/>
    <w:rsid w:val="00B850E1"/>
    <w:rsid w:val="00BB3C96"/>
    <w:rsid w:val="00BE6EDF"/>
    <w:rsid w:val="00F22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E7FDC6"/>
  <w15:chartTrackingRefBased/>
  <w15:docId w15:val="{62E7C625-6F1E-FC4C-BD14-40CF6023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F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F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F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F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F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F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F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F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F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F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F5D"/>
    <w:rPr>
      <w:rFonts w:eastAsiaTheme="majorEastAsia" w:cstheme="majorBidi"/>
      <w:color w:val="272727" w:themeColor="text1" w:themeTint="D8"/>
    </w:rPr>
  </w:style>
  <w:style w:type="paragraph" w:styleId="Title">
    <w:name w:val="Title"/>
    <w:basedOn w:val="Normal"/>
    <w:next w:val="Normal"/>
    <w:link w:val="TitleChar"/>
    <w:uiPriority w:val="10"/>
    <w:qFormat/>
    <w:rsid w:val="00351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F5D"/>
    <w:pPr>
      <w:spacing w:before="160"/>
      <w:jc w:val="center"/>
    </w:pPr>
    <w:rPr>
      <w:i/>
      <w:iCs/>
      <w:color w:val="404040" w:themeColor="text1" w:themeTint="BF"/>
    </w:rPr>
  </w:style>
  <w:style w:type="character" w:customStyle="1" w:styleId="QuoteChar">
    <w:name w:val="Quote Char"/>
    <w:basedOn w:val="DefaultParagraphFont"/>
    <w:link w:val="Quote"/>
    <w:uiPriority w:val="29"/>
    <w:rsid w:val="00351F5D"/>
    <w:rPr>
      <w:i/>
      <w:iCs/>
      <w:color w:val="404040" w:themeColor="text1" w:themeTint="BF"/>
    </w:rPr>
  </w:style>
  <w:style w:type="paragraph" w:styleId="ListParagraph">
    <w:name w:val="List Paragraph"/>
    <w:basedOn w:val="Normal"/>
    <w:uiPriority w:val="34"/>
    <w:qFormat/>
    <w:rsid w:val="00351F5D"/>
    <w:pPr>
      <w:ind w:left="720"/>
      <w:contextualSpacing/>
    </w:pPr>
  </w:style>
  <w:style w:type="character" w:styleId="IntenseEmphasis">
    <w:name w:val="Intense Emphasis"/>
    <w:basedOn w:val="DefaultParagraphFont"/>
    <w:uiPriority w:val="21"/>
    <w:qFormat/>
    <w:rsid w:val="00351F5D"/>
    <w:rPr>
      <w:i/>
      <w:iCs/>
      <w:color w:val="0F4761" w:themeColor="accent1" w:themeShade="BF"/>
    </w:rPr>
  </w:style>
  <w:style w:type="paragraph" w:styleId="IntenseQuote">
    <w:name w:val="Intense Quote"/>
    <w:basedOn w:val="Normal"/>
    <w:next w:val="Normal"/>
    <w:link w:val="IntenseQuoteChar"/>
    <w:uiPriority w:val="30"/>
    <w:qFormat/>
    <w:rsid w:val="00351F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F5D"/>
    <w:rPr>
      <w:i/>
      <w:iCs/>
      <w:color w:val="0F4761" w:themeColor="accent1" w:themeShade="BF"/>
    </w:rPr>
  </w:style>
  <w:style w:type="character" w:styleId="IntenseReference">
    <w:name w:val="Intense Reference"/>
    <w:basedOn w:val="DefaultParagraphFont"/>
    <w:uiPriority w:val="32"/>
    <w:qFormat/>
    <w:rsid w:val="00351F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2922</TotalTime>
  <Pages>1</Pages>
  <Words>532</Words>
  <Characters>3396</Characters>
  <Application>Microsoft Office Word</Application>
  <DocSecurity>0</DocSecurity>
  <Lines>44</Lines>
  <Paragraphs>12</Paragraphs>
  <ScaleCrop>false</ScaleCrop>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Cesar Ignacio Espinoza</dc:creator>
  <cp:keywords/>
  <dc:description/>
  <cp:lastModifiedBy>J. Cesar Ignacio Espinoza</cp:lastModifiedBy>
  <cp:revision>3</cp:revision>
  <dcterms:created xsi:type="dcterms:W3CDTF">2026-09-11T22:19:00Z</dcterms:created>
  <dcterms:modified xsi:type="dcterms:W3CDTF">2026-09-21T21:08:00Z</dcterms:modified>
</cp:coreProperties>
</file>