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973FC8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15337484" w14:textId="3657B57D" w:rsidR="00973FC8" w:rsidRPr="00973FC8" w:rsidRDefault="00973FC8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Исходные данные</w:t>
      </w:r>
    </w:p>
    <w:p w14:paraId="1C8A82A8" w14:textId="15FCCA3F" w:rsidR="00973FC8" w:rsidRPr="001F4B3D" w:rsidRDefault="001F4B3D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4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БДУ </w:t>
      </w:r>
      <w:r w:rsidR="0087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ФСТЭК РОССИИ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A8422B2" w14:textId="6EA231CE" w:rsidR="001F4B3D" w:rsidRPr="001F4B3D" w:rsidRDefault="001F4B3D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4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Реестр Российского программного обеспечения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5314153" w14:textId="264D6FF6" w:rsidR="001F4B3D" w:rsidRDefault="00F330DA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Федеральные законы Российской Федерации;</w:t>
      </w:r>
    </w:p>
    <w:p w14:paraId="6B865181" w14:textId="7C500C82" w:rsidR="00F330DA" w:rsidRDefault="00F330DA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Приказы Российской Федерации</w:t>
      </w:r>
      <w:r w:rsidR="003C6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B722BE8" w14:textId="25FCDD93" w:rsidR="00F330DA" w:rsidRPr="001F4B3D" w:rsidRDefault="003C677E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етодика определения угроз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653FF9" w14:textId="0672E9C9" w:rsidR="00252FEF" w:rsidRPr="003A22E2" w:rsidRDefault="00252FEF" w:rsidP="003A22E2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854147E" w14:textId="77777777" w:rsidR="00252FEF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A66EC9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заключение;</w:t>
      </w:r>
    </w:p>
    <w:p w14:paraId="68F12B61" w14:textId="77777777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10468CCA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Руководитель</w:t>
      </w:r>
      <w:r w:rsidR="001F30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проекта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35952" w14:textId="2C291B27" w:rsidR="007E7B0C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820530" w:history="1">
        <w:r w:rsidR="007E7B0C" w:rsidRPr="0015793F">
          <w:rPr>
            <w:rStyle w:val="a8"/>
            <w:rFonts w:cs="Times New Roman"/>
            <w:b/>
            <w:noProof/>
          </w:rPr>
          <w:t>Введение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_Toc167820530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4</w:t>
        </w:r>
        <w:r w:rsidR="007E7B0C">
          <w:rPr>
            <w:noProof/>
            <w:webHidden/>
          </w:rPr>
          <w:fldChar w:fldCharType="end"/>
        </w:r>
      </w:hyperlink>
    </w:p>
    <w:p w14:paraId="6C865AE1" w14:textId="19924712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1" w:history="1">
        <w:r w:rsidR="007E7B0C" w:rsidRPr="0015793F">
          <w:rPr>
            <w:rStyle w:val="a8"/>
            <w:rFonts w:cs="Times New Roman"/>
            <w:b/>
            <w:noProof/>
          </w:rPr>
          <w:t>1. Анализ объекта защиты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_Toc167820531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5</w:t>
        </w:r>
        <w:r w:rsidR="007E7B0C">
          <w:rPr>
            <w:noProof/>
            <w:webHidden/>
          </w:rPr>
          <w:fldChar w:fldCharType="end"/>
        </w:r>
      </w:hyperlink>
    </w:p>
    <w:p w14:paraId="79595D80" w14:textId="0D519431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2" w:history="1">
        <w:r w:rsidR="007E7B0C" w:rsidRPr="0015793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_Toc167820532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5</w:t>
        </w:r>
        <w:r w:rsidR="007E7B0C">
          <w:rPr>
            <w:noProof/>
            <w:webHidden/>
          </w:rPr>
          <w:fldChar w:fldCharType="end"/>
        </w:r>
      </w:hyperlink>
    </w:p>
    <w:p w14:paraId="7464E9C3" w14:textId="44006D59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3" w:history="1">
        <w:r w:rsidR="007E7B0C" w:rsidRPr="0015793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_Toc167820533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5</w:t>
        </w:r>
        <w:r w:rsidR="007E7B0C">
          <w:rPr>
            <w:noProof/>
            <w:webHidden/>
          </w:rPr>
          <w:fldChar w:fldCharType="end"/>
        </w:r>
      </w:hyperlink>
    </w:p>
    <w:p w14:paraId="5E68DE31" w14:textId="0C8E010E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4" w:history="1">
        <w:r w:rsidR="007E7B0C" w:rsidRPr="0015793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_Toc167820534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12</w:t>
        </w:r>
        <w:r w:rsidR="007E7B0C">
          <w:rPr>
            <w:noProof/>
            <w:webHidden/>
          </w:rPr>
          <w:fldChar w:fldCharType="end"/>
        </w:r>
      </w:hyperlink>
    </w:p>
    <w:p w14:paraId="7820DD7B" w14:textId="2108B103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5" w:history="1">
        <w:r w:rsidR="007E7B0C" w:rsidRPr="0015793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_Toc167820535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26</w:t>
        </w:r>
        <w:r w:rsidR="007E7B0C">
          <w:rPr>
            <w:noProof/>
            <w:webHidden/>
          </w:rPr>
          <w:fldChar w:fldCharType="end"/>
        </w:r>
      </w:hyperlink>
    </w:p>
    <w:p w14:paraId="1FDDB62A" w14:textId="6F1EC411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6" w:history="1">
        <w:r w:rsidR="007E7B0C" w:rsidRPr="0015793F">
          <w:rPr>
            <w:rStyle w:val="a8"/>
            <w:rFonts w:cs="Times New Roman"/>
            <w:b/>
            <w:noProof/>
          </w:rPr>
          <w:t>2.1 Классификация АС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_Toc167820536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26</w:t>
        </w:r>
        <w:r w:rsidR="007E7B0C">
          <w:rPr>
            <w:noProof/>
            <w:webHidden/>
          </w:rPr>
          <w:fldChar w:fldCharType="end"/>
        </w:r>
      </w:hyperlink>
    </w:p>
    <w:p w14:paraId="17A2341D" w14:textId="3C9F3373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7" w:history="1">
        <w:r w:rsidR="007E7B0C" w:rsidRPr="0015793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_Toc167820537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27</w:t>
        </w:r>
        <w:r w:rsidR="007E7B0C">
          <w:rPr>
            <w:noProof/>
            <w:webHidden/>
          </w:rPr>
          <w:fldChar w:fldCharType="end"/>
        </w:r>
      </w:hyperlink>
    </w:p>
    <w:p w14:paraId="44B6019E" w14:textId="5108960B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8" w:history="1">
        <w:r w:rsidR="007E7B0C" w:rsidRPr="0015793F">
          <w:rPr>
            <w:rStyle w:val="a8"/>
            <w:rFonts w:cs="Times New Roman"/>
            <w:b/>
            <w:noProof/>
          </w:rPr>
          <w:t>3. Техническое задание на проектирование средств защиты информации автоматизированной системы потребительских кредитов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_Toc167820538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49</w:t>
        </w:r>
        <w:r w:rsidR="007E7B0C">
          <w:rPr>
            <w:noProof/>
            <w:webHidden/>
          </w:rPr>
          <w:fldChar w:fldCharType="end"/>
        </w:r>
      </w:hyperlink>
    </w:p>
    <w:p w14:paraId="1568F65F" w14:textId="00652A7C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9" w:history="1">
        <w:r w:rsidR="007E7B0C" w:rsidRPr="0015793F">
          <w:rPr>
            <w:rStyle w:val="a8"/>
            <w:rFonts w:cs="Times New Roman"/>
            <w:b/>
            <w:noProof/>
          </w:rPr>
          <w:t>3.1 Классификация и выбор технических средств защиты информации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_Toc167820539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49</w:t>
        </w:r>
        <w:r w:rsidR="007E7B0C">
          <w:rPr>
            <w:noProof/>
            <w:webHidden/>
          </w:rPr>
          <w:fldChar w:fldCharType="end"/>
        </w:r>
      </w:hyperlink>
    </w:p>
    <w:p w14:paraId="76C06A88" w14:textId="57B3D819" w:rsidR="007E7B0C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0" w:history="1">
        <w:r w:rsidR="007E7B0C" w:rsidRPr="0015793F">
          <w:rPr>
            <w:rStyle w:val="a8"/>
            <w:rFonts w:cs="Times New Roman"/>
            <w:b/>
            <w:noProof/>
          </w:rPr>
          <w:t>3.2 Техническое задание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_Toc167820540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57</w:t>
        </w:r>
        <w:r w:rsidR="007E7B0C">
          <w:rPr>
            <w:noProof/>
            <w:webHidden/>
          </w:rPr>
          <w:fldChar w:fldCharType="end"/>
        </w:r>
      </w:hyperlink>
    </w:p>
    <w:p w14:paraId="4EC3E34F" w14:textId="0926A024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1" w:history="1">
        <w:r w:rsidR="007E7B0C" w:rsidRPr="0015793F">
          <w:rPr>
            <w:rStyle w:val="a8"/>
            <w:rFonts w:cs="Times New Roman"/>
            <w:b/>
            <w:noProof/>
          </w:rPr>
          <w:t>Заключение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_Toc167820541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59</w:t>
        </w:r>
        <w:r w:rsidR="007E7B0C">
          <w:rPr>
            <w:noProof/>
            <w:webHidden/>
          </w:rPr>
          <w:fldChar w:fldCharType="end"/>
        </w:r>
      </w:hyperlink>
    </w:p>
    <w:p w14:paraId="4BF429EF" w14:textId="494E3B2C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2" w:history="1">
        <w:r w:rsidR="007E7B0C" w:rsidRPr="0015793F">
          <w:rPr>
            <w:rStyle w:val="a8"/>
            <w:rFonts w:cs="Times New Roman"/>
            <w:b/>
            <w:noProof/>
          </w:rPr>
          <w:t>Список литературы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_Toc167820542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60</w:t>
        </w:r>
        <w:r w:rsidR="007E7B0C">
          <w:rPr>
            <w:noProof/>
            <w:webHidden/>
          </w:rPr>
          <w:fldChar w:fldCharType="end"/>
        </w:r>
      </w:hyperlink>
    </w:p>
    <w:p w14:paraId="70F9A6AA" w14:textId="5F16607C" w:rsidR="007E7B0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3" w:history="1">
        <w:r w:rsidR="007E7B0C" w:rsidRPr="0015793F">
          <w:rPr>
            <w:rStyle w:val="a8"/>
            <w:rFonts w:cs="Times New Roman"/>
            <w:b/>
            <w:bCs/>
            <w:noProof/>
          </w:rPr>
          <w:t>Приложение А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_Toc167820543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62</w:t>
        </w:r>
        <w:r w:rsidR="007E7B0C">
          <w:rPr>
            <w:noProof/>
            <w:webHidden/>
          </w:rPr>
          <w:fldChar w:fldCharType="end"/>
        </w:r>
      </w:hyperlink>
    </w:p>
    <w:p w14:paraId="32349CFB" w14:textId="347BB6BA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820530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61C772" w14:textId="30B3B5A6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Автоматизация бизнес-процессов играет ключевую роль в повышении эффективности и безопасности работы современных организаций [1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863DE">
        <w:rPr>
          <w:rFonts w:ascii="Times New Roman" w:hAnsi="Times New Roman" w:cs="Times New Roman"/>
          <w:sz w:val="28"/>
          <w:szCs w:val="28"/>
        </w:rPr>
        <w:t>]. В контексте банковского сектора, где обрабатываются большие объемы конфиденциальной информации, защита данных становится особенно важной. В 2024 году кибербезопасность остается приоритетом для бизнеса, требующим использования передовых технологий и стратегий 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778E07E1" w14:textId="03C4BF2E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Одной из основных задач в проектировании автоматизированных систем кредитования является обеспечение надежной защиты данных клиентов и предотвращение киберугроз [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863DE">
        <w:rPr>
          <w:rFonts w:ascii="Times New Roman" w:hAnsi="Times New Roman" w:cs="Times New Roman"/>
          <w:sz w:val="28"/>
          <w:szCs w:val="28"/>
        </w:rPr>
        <w:t>]. Статистика Центрального Банка РФ показывает, что количество инцидентов информационной безопасности продолжает расти, что подчеркивает необходимость внедрения комплексных защитных мер [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5FA4F2DE" w14:textId="684EBB71" w:rsid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Для проектирования системы защиты необходимо учитывать множество факторов, включая требования к шифрованию, контроль доступа и мониторинг событий безопасности [</w:t>
      </w:r>
      <w:r w:rsidR="00A03885">
        <w:rPr>
          <w:rFonts w:ascii="Times New Roman" w:hAnsi="Times New Roman" w:cs="Times New Roman"/>
          <w:sz w:val="28"/>
          <w:szCs w:val="28"/>
        </w:rPr>
        <w:t>19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050AE977" w:rsidR="00CB4D41" w:rsidRPr="00EC6501" w:rsidRDefault="00561C46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объект защиты и р</w:t>
      </w:r>
      <w:r w:rsidR="00085EA9" w:rsidRPr="00EC6501">
        <w:rPr>
          <w:rFonts w:ascii="Times New Roman" w:hAnsi="Times New Roman" w:cs="Times New Roman"/>
          <w:sz w:val="28"/>
          <w:szCs w:val="28"/>
        </w:rPr>
        <w:t>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64169BC1" w:rsidR="00CB4D41" w:rsidRPr="00EC6501" w:rsidRDefault="000973BC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автоматизированную систему потребительского кредитования как объекта защиты и определить возможные угрозы безопасности.</w:t>
      </w:r>
    </w:p>
    <w:p w14:paraId="1FD7C80D" w14:textId="18175825" w:rsidR="00CB4D41" w:rsidRPr="00EC6501" w:rsidRDefault="000973BC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по обеспечению безопасности в автоматизированной системе потребительских кредитов.</w:t>
      </w:r>
    </w:p>
    <w:p w14:paraId="53388986" w14:textId="12ED8220" w:rsidR="002F4B43" w:rsidRPr="007E02A5" w:rsidRDefault="00085EA9" w:rsidP="00293119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2A5">
        <w:rPr>
          <w:rFonts w:ascii="Times New Roman" w:hAnsi="Times New Roman" w:cs="Times New Roman"/>
          <w:sz w:val="28"/>
          <w:szCs w:val="28"/>
        </w:rPr>
        <w:t>Спроектировать техническое задание</w:t>
      </w:r>
      <w:r w:rsidR="008C154A">
        <w:rPr>
          <w:rFonts w:ascii="Times New Roman" w:hAnsi="Times New Roman" w:cs="Times New Roman"/>
          <w:sz w:val="28"/>
          <w:szCs w:val="28"/>
        </w:rPr>
        <w:t xml:space="preserve"> на </w:t>
      </w:r>
      <w:r w:rsidR="000973BC">
        <w:rPr>
          <w:rFonts w:ascii="Times New Roman" w:hAnsi="Times New Roman" w:cs="Times New Roman"/>
          <w:sz w:val="28"/>
          <w:szCs w:val="28"/>
        </w:rPr>
        <w:t>создание системы защиты для</w:t>
      </w:r>
      <w:r w:rsidR="008C154A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потребительских кредитов</w:t>
      </w:r>
      <w:r w:rsidRPr="007E02A5">
        <w:rPr>
          <w:rFonts w:ascii="Times New Roman" w:hAnsi="Times New Roman" w:cs="Times New Roman"/>
          <w:sz w:val="28"/>
          <w:szCs w:val="28"/>
        </w:rPr>
        <w:t>.</w:t>
      </w: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8205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8205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20E5047E" w:rsidR="008D7F93" w:rsidRPr="00EC6501" w:rsidRDefault="004B393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автоматизированной системы</w:t>
      </w:r>
      <w:r w:rsidR="008D7F93" w:rsidRPr="00EC6501">
        <w:rPr>
          <w:rFonts w:ascii="Times New Roman" w:hAnsi="Times New Roman" w:cs="Times New Roman"/>
          <w:bCs/>
          <w:sz w:val="28"/>
          <w:szCs w:val="28"/>
        </w:rPr>
        <w:t>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604F193F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Основная цель системы: эффективное управление выдачей</w:t>
      </w:r>
      <w:r w:rsidR="00802DED">
        <w:rPr>
          <w:rFonts w:ascii="Times New Roman" w:hAnsi="Times New Roman" w:cs="Times New Roman"/>
          <w:bCs/>
          <w:sz w:val="28"/>
          <w:szCs w:val="28"/>
        </w:rPr>
        <w:t xml:space="preserve"> и контролем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</w:t>
      </w:r>
      <w:r w:rsidR="00802DED">
        <w:rPr>
          <w:rFonts w:ascii="Times New Roman" w:hAnsi="Times New Roman" w:cs="Times New Roman"/>
          <w:bCs/>
          <w:sz w:val="28"/>
          <w:szCs w:val="28"/>
        </w:rPr>
        <w:t>их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802DED">
        <w:rPr>
          <w:rFonts w:ascii="Times New Roman" w:hAnsi="Times New Roman" w:cs="Times New Roman"/>
          <w:bCs/>
          <w:sz w:val="28"/>
          <w:szCs w:val="28"/>
        </w:rPr>
        <w:t>ов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8205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044FB86C" w:rsidR="00B72986" w:rsidRDefault="000A73B5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72986" w:rsidRPr="00B72986">
        <w:rPr>
          <w:rFonts w:ascii="Times New Roman" w:hAnsi="Times New Roman" w:cs="Times New Roman"/>
          <w:bCs/>
          <w:sz w:val="28"/>
          <w:szCs w:val="28"/>
        </w:rPr>
        <w:t xml:space="preserve">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 w:rsidR="00B72986"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кредитов:</w:t>
      </w:r>
    </w:p>
    <w:p w14:paraId="18CB76D2" w14:textId="34971B72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7711968"/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5E7109">
        <w:rPr>
          <w:rFonts w:ascii="Times New Roman" w:hAnsi="Times New Roman" w:cs="Times New Roman"/>
          <w:sz w:val="28"/>
          <w:szCs w:val="28"/>
        </w:rPr>
        <w:t>егистрация новых кредитных заявок;</w:t>
      </w:r>
    </w:p>
    <w:p w14:paraId="509A0CE9" w14:textId="611E2229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5E7109">
        <w:rPr>
          <w:rFonts w:ascii="Times New Roman" w:hAnsi="Times New Roman" w:cs="Times New Roman"/>
          <w:sz w:val="28"/>
          <w:szCs w:val="28"/>
        </w:rPr>
        <w:t>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="005871A4"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20A0483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5E7109">
        <w:rPr>
          <w:rFonts w:ascii="Times New Roman" w:hAnsi="Times New Roman" w:cs="Times New Roman"/>
          <w:sz w:val="28"/>
          <w:szCs w:val="28"/>
        </w:rPr>
        <w:t>чет и мониторинг выплат и погашений кредитов</w:t>
      </w:r>
      <w:bookmarkEnd w:id="4"/>
      <w:r w:rsidR="005871A4" w:rsidRPr="005E7109">
        <w:rPr>
          <w:rFonts w:ascii="Times New Roman" w:hAnsi="Times New Roman" w:cs="Times New Roman"/>
          <w:sz w:val="28"/>
          <w:szCs w:val="28"/>
        </w:rPr>
        <w:t>.</w:t>
      </w:r>
    </w:p>
    <w:p w14:paraId="07E1B4F3" w14:textId="0B427866" w:rsidR="005871A4" w:rsidRDefault="00444DC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7337D">
        <w:rPr>
          <w:rFonts w:ascii="Times New Roman" w:hAnsi="Times New Roman" w:cs="Times New Roman"/>
          <w:sz w:val="28"/>
          <w:szCs w:val="28"/>
        </w:rPr>
        <w:t>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A6373" w14:textId="442A4C25" w:rsidR="000E05E6" w:rsidRPr="00444DC6" w:rsidRDefault="00444DC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и 2 представлены диаграммы бизнес-процессов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</w:t>
      </w:r>
      <w:r w:rsidR="00532F89">
        <w:rPr>
          <w:rFonts w:ascii="Times New Roman" w:hAnsi="Times New Roman" w:cs="Times New Roman"/>
          <w:sz w:val="28"/>
          <w:szCs w:val="28"/>
        </w:rPr>
        <w:t xml:space="preserve"> На рисунке 1 контекстная диаграмма. На рисунке 2 Диаграмма основных функций.</w:t>
      </w: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4EA4BCD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0A224AD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85641">
        <w:rPr>
          <w:rFonts w:ascii="Times New Roman" w:hAnsi="Times New Roman" w:cs="Times New Roman"/>
          <w:sz w:val="28"/>
          <w:szCs w:val="28"/>
        </w:rPr>
        <w:t>Контекстная диаграмма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5B6ADF9F" w:rsidR="0080106B" w:rsidRPr="00377420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2626F3BC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185641">
        <w:rPr>
          <w:rFonts w:ascii="Times New Roman" w:hAnsi="Times New Roman" w:cs="Times New Roman"/>
          <w:sz w:val="28"/>
          <w:szCs w:val="28"/>
        </w:rPr>
        <w:t xml:space="preserve"> Диаграмма основных функций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24377FA5" w14:textId="0D3437C3" w:rsidR="00291A06" w:rsidRDefault="00291A06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заработке;</w:t>
      </w:r>
    </w:p>
    <w:p w14:paraId="089B0E82" w14:textId="26C73783" w:rsidR="00F02F83" w:rsidRPr="00C06227" w:rsidRDefault="00F02F83" w:rsidP="00C06227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платёжеспособности</w:t>
      </w:r>
      <w:r w:rsidR="00C06227">
        <w:rPr>
          <w:rFonts w:ascii="Times New Roman" w:hAnsi="Times New Roman" w:cs="Times New Roman"/>
          <w:sz w:val="28"/>
          <w:szCs w:val="28"/>
        </w:rPr>
        <w:t>.</w:t>
      </w:r>
    </w:p>
    <w:p w14:paraId="5BCA5675" w14:textId="24A0B774" w:rsidR="005871A4" w:rsidRPr="00126310" w:rsidRDefault="00C06227" w:rsidP="00C06227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871A4" w:rsidRPr="00126310">
        <w:rPr>
          <w:rFonts w:ascii="Times New Roman" w:hAnsi="Times New Roman" w:cs="Times New Roman"/>
          <w:sz w:val="28"/>
          <w:szCs w:val="28"/>
        </w:rPr>
        <w:t>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3F10D45F" w:rsidR="00A013F2" w:rsidRPr="00C06227" w:rsidRDefault="005871A4" w:rsidP="00C06227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108158A1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9B3056">
        <w:rPr>
          <w:rFonts w:ascii="Times New Roman" w:hAnsi="Times New Roman" w:cs="Times New Roman"/>
          <w:sz w:val="28"/>
          <w:szCs w:val="28"/>
        </w:rPr>
        <w:t>;</w:t>
      </w:r>
    </w:p>
    <w:p w14:paraId="51EECABB" w14:textId="4D31C4E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  <w:r w:rsidR="009B3056">
        <w:rPr>
          <w:rFonts w:ascii="Times New Roman" w:hAnsi="Times New Roman" w:cs="Times New Roman"/>
          <w:sz w:val="28"/>
          <w:szCs w:val="28"/>
        </w:rPr>
        <w:t>;</w:t>
      </w:r>
    </w:p>
    <w:p w14:paraId="6A86F89D" w14:textId="646E0527" w:rsidR="00771281" w:rsidRPr="00771281" w:rsidRDefault="005871A4" w:rsidP="00771281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2ABD990C" w:rsidR="005871A4" w:rsidRPr="00EC6501" w:rsidRDefault="00070FE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информации выполняется с учётом следующих нормативных документов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373222F9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27.07.2006 N 149-ФЗ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8173C6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27.07.2006 N 152-ФЗ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644444FC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02.12.1990 N 395-1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 банках и банковской деятельности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26738A7A" w:rsidR="000F7BF8" w:rsidRPr="000F7BF8" w:rsidRDefault="005667F2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равовой режиму соответствует режиму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871A4" w:rsidRPr="00EC6501">
        <w:rPr>
          <w:rFonts w:ascii="Times New Roman" w:hAnsi="Times New Roman" w:cs="Times New Roman"/>
          <w:sz w:val="28"/>
          <w:szCs w:val="28"/>
        </w:rPr>
        <w:t>оммерческой тайны.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информация защищен</w:t>
      </w:r>
      <w:r w:rsidR="00DB21AB">
        <w:rPr>
          <w:rFonts w:ascii="Times New Roman" w:hAnsi="Times New Roman" w:cs="Times New Roman"/>
          <w:sz w:val="28"/>
          <w:szCs w:val="28"/>
        </w:rPr>
        <w:t>а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 xml:space="preserve">, </w:t>
      </w:r>
      <w:r w:rsidR="00DB21AB">
        <w:rPr>
          <w:rFonts w:ascii="Times New Roman" w:hAnsi="Times New Roman" w:cs="Times New Roman"/>
          <w:sz w:val="28"/>
          <w:szCs w:val="28"/>
        </w:rPr>
        <w:t>что означает, что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3C99E62F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6F0F36">
        <w:rPr>
          <w:rFonts w:ascii="Times New Roman" w:hAnsi="Times New Roman" w:cs="Times New Roman"/>
          <w:sz w:val="28"/>
          <w:szCs w:val="28"/>
        </w:rPr>
        <w:t>к</w:t>
      </w:r>
      <w:r w:rsidRPr="000F7BF8">
        <w:rPr>
          <w:rFonts w:ascii="Times New Roman" w:hAnsi="Times New Roman" w:cs="Times New Roman"/>
          <w:sz w:val="28"/>
          <w:szCs w:val="28"/>
        </w:rPr>
        <w:t>оммерческой тайны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</w:t>
      </w:r>
      <w:r w:rsidR="001C1960">
        <w:rPr>
          <w:rFonts w:ascii="Times New Roman" w:hAnsi="Times New Roman" w:cs="Times New Roman"/>
          <w:sz w:val="28"/>
          <w:szCs w:val="28"/>
        </w:rPr>
        <w:t xml:space="preserve">, </w:t>
      </w:r>
      <w:r w:rsidRPr="000F7BF8">
        <w:rPr>
          <w:rFonts w:ascii="Times New Roman" w:hAnsi="Times New Roman" w:cs="Times New Roman"/>
          <w:sz w:val="28"/>
          <w:szCs w:val="28"/>
        </w:rPr>
        <w:t>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7E4E2EE9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143B2E70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>еб-приложение.</w:t>
      </w:r>
    </w:p>
    <w:p w14:paraId="3A6A8942" w14:textId="6007D67B" w:rsidR="00F1777D" w:rsidRPr="00E37D51" w:rsidRDefault="00F1777D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Веб-приложение разработано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193900">
        <w:rPr>
          <w:rFonts w:ascii="Times New Roman" w:hAnsi="Times New Roman" w:cs="Times New Roman"/>
          <w:bCs/>
          <w:sz w:val="28"/>
          <w:szCs w:val="28"/>
        </w:rPr>
        <w:t>использованием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фреймворка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193900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ango</w:t>
      </w:r>
      <w:r w:rsidR="00E37D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538A90" w14:textId="140EEDD8" w:rsidR="005871A4" w:rsidRPr="00590447" w:rsidRDefault="00E37D51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61678B" w:rsidRPr="0061678B">
        <w:rPr>
          <w:rFonts w:ascii="Times New Roman" w:hAnsi="Times New Roman" w:cs="Times New Roman"/>
          <w:bCs/>
          <w:sz w:val="28"/>
          <w:szCs w:val="28"/>
        </w:rPr>
        <w:t>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296B39B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2E31679A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668B8D5F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м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ониторинг работы системы и сети,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правление резервным копированием и восстановлением данных,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рганизация и контроль обновлений программного обеспечения,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394CE56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7165C427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4863063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м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ониторинг производительности баз данных и оптимизация запросов, </w:t>
      </w:r>
      <w:r w:rsidR="00F47A8C">
        <w:rPr>
          <w:rFonts w:ascii="Times New Roman" w:hAnsi="Times New Roman" w:cs="Times New Roman"/>
          <w:sz w:val="28"/>
          <w:szCs w:val="28"/>
        </w:rPr>
        <w:t>р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азработка и реализация стратегии обеспечения безопасности данных, </w:t>
      </w:r>
      <w:r w:rsidR="00F47A8C"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оздание и настройка резервных копий баз данных,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99151B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д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оступ к кредитной информации и </w:t>
      </w:r>
      <w:r w:rsidR="007A3BD8" w:rsidRPr="00EC6501">
        <w:rPr>
          <w:rFonts w:ascii="Times New Roman" w:hAnsi="Times New Roman" w:cs="Times New Roman"/>
          <w:sz w:val="28"/>
          <w:szCs w:val="28"/>
        </w:rPr>
        <w:t>аналитическим инструментам,</w:t>
      </w:r>
      <w:r w:rsidR="003E6AFF">
        <w:rPr>
          <w:rFonts w:ascii="Times New Roman" w:hAnsi="Times New Roman" w:cs="Times New Roman"/>
          <w:sz w:val="28"/>
          <w:szCs w:val="28"/>
        </w:rPr>
        <w:t xml:space="preserve"> встроенным в веб-приложение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574FC49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7ECFA16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роведение аналитических исследований для прогнозирования рисков и оценки кредитоспособности клиентов, </w:t>
      </w:r>
      <w:r w:rsidR="00F47A8C"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ормирование рекомендаций по улучшению кредитных процессов и стратегий выдачи кредитов, </w:t>
      </w:r>
      <w:r w:rsidR="00F47A8C"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554EEA4D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д</w:t>
      </w:r>
      <w:r w:rsidR="005871A4" w:rsidRPr="00EC6501">
        <w:rPr>
          <w:rFonts w:ascii="Times New Roman" w:hAnsi="Times New Roman" w:cs="Times New Roman"/>
          <w:sz w:val="28"/>
          <w:szCs w:val="28"/>
        </w:rPr>
        <w:t>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69AA7D9B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>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51B1C7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бработка жалоб и обращений клиентов с учетом стандартов обслуживания,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роведение консультаций и предоставление информации о продуктах и услугах банка,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6EC9BE0E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Уровень полномочий: </w:t>
      </w:r>
      <w:r w:rsidR="008E24F5">
        <w:rPr>
          <w:rFonts w:ascii="Times New Roman" w:hAnsi="Times New Roman" w:cs="Times New Roman"/>
          <w:sz w:val="28"/>
          <w:szCs w:val="28"/>
        </w:rPr>
        <w:t>о</w:t>
      </w:r>
      <w:r w:rsidRPr="00EC6501">
        <w:rPr>
          <w:rFonts w:ascii="Times New Roman" w:hAnsi="Times New Roman" w:cs="Times New Roman"/>
          <w:sz w:val="28"/>
          <w:szCs w:val="28"/>
        </w:rPr>
        <w:t>граниченный доступ к собственной информации и операциям. (низкий)</w:t>
      </w:r>
    </w:p>
    <w:p w14:paraId="17314CC2" w14:textId="58B4BC91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Типы доступа: </w:t>
      </w:r>
      <w:r w:rsidR="008E24F5">
        <w:rPr>
          <w:rFonts w:ascii="Times New Roman" w:hAnsi="Times New Roman" w:cs="Times New Roman"/>
          <w:sz w:val="28"/>
          <w:szCs w:val="28"/>
        </w:rPr>
        <w:t>п</w:t>
      </w:r>
      <w:r w:rsidRPr="00EC6501">
        <w:rPr>
          <w:rFonts w:ascii="Times New Roman" w:hAnsi="Times New Roman" w:cs="Times New Roman"/>
          <w:sz w:val="28"/>
          <w:szCs w:val="28"/>
        </w:rPr>
        <w:t>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8205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5"/>
    </w:p>
    <w:p w14:paraId="46593F8B" w14:textId="6C039C6D" w:rsidR="00D736F2" w:rsidRDefault="00D736F2" w:rsidP="007A3B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5C7185E7" w14:textId="1C9CAED4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A3BD8">
        <w:rPr>
          <w:rFonts w:ascii="Times New Roman" w:hAnsi="Times New Roman" w:cs="Times New Roman"/>
          <w:sz w:val="28"/>
          <w:szCs w:val="28"/>
        </w:rPr>
        <w:t>м</w:t>
      </w:r>
      <w:r w:rsidR="007A3BD8" w:rsidRPr="00D736F2">
        <w:rPr>
          <w:rFonts w:ascii="Times New Roman" w:hAnsi="Times New Roman" w:cs="Times New Roman"/>
          <w:sz w:val="28"/>
          <w:szCs w:val="28"/>
        </w:rPr>
        <w:t>етодическ</w:t>
      </w:r>
      <w:r w:rsidR="007A3BD8">
        <w:rPr>
          <w:rFonts w:ascii="Times New Roman" w:hAnsi="Times New Roman" w:cs="Times New Roman"/>
          <w:sz w:val="28"/>
          <w:szCs w:val="28"/>
        </w:rPr>
        <w:t>ого</w:t>
      </w:r>
      <w:r w:rsidR="007A3BD8"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7A3BD8">
        <w:rPr>
          <w:rFonts w:ascii="Times New Roman" w:hAnsi="Times New Roman" w:cs="Times New Roman"/>
          <w:sz w:val="28"/>
          <w:szCs w:val="28"/>
        </w:rPr>
        <w:t xml:space="preserve">а «Федеральной службы по техническому и экспортному контролю» (далее ФСТЭК </w:t>
      </w:r>
      <w:r w:rsidR="007A3BD8">
        <w:rPr>
          <w:rFonts w:ascii="Times New Roman" w:hAnsi="Times New Roman" w:cs="Times New Roman"/>
          <w:sz w:val="28"/>
          <w:szCs w:val="28"/>
        </w:rPr>
        <w:t>России</w:t>
      </w:r>
      <w:r w:rsidR="007A3BD8">
        <w:rPr>
          <w:rFonts w:ascii="Times New Roman" w:hAnsi="Times New Roman" w:cs="Times New Roman"/>
          <w:sz w:val="28"/>
          <w:szCs w:val="28"/>
        </w:rPr>
        <w:t>)</w:t>
      </w:r>
      <w:r w:rsidR="007A3BD8"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 w:rsidR="007A3BD8">
        <w:rPr>
          <w:rFonts w:ascii="Times New Roman" w:hAnsi="Times New Roman" w:cs="Times New Roman"/>
          <w:sz w:val="28"/>
          <w:szCs w:val="28"/>
        </w:rPr>
        <w:t xml:space="preserve"> «М</w:t>
      </w:r>
      <w:r w:rsidR="007A3BD8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 w:rsidR="007A3BD8">
        <w:rPr>
          <w:rFonts w:ascii="Times New Roman" w:hAnsi="Times New Roman" w:cs="Times New Roman"/>
          <w:sz w:val="28"/>
          <w:szCs w:val="28"/>
        </w:rPr>
        <w:t>»</w:t>
      </w:r>
      <w:r w:rsidR="00C43CBF">
        <w:rPr>
          <w:rFonts w:ascii="Times New Roman" w:hAnsi="Times New Roman" w:cs="Times New Roman"/>
          <w:sz w:val="28"/>
          <w:szCs w:val="28"/>
        </w:rPr>
        <w:t xml:space="preserve"> составлен перечень видов рисков и возможных негативных последствий для АС потребительского кредитования (таблица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6943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B9A362" w14:textId="7C91D291" w:rsidR="006F3690" w:rsidRDefault="006F3690" w:rsidP="00320D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FC5F2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FC5F25">
        <w:rPr>
          <w:rFonts w:ascii="Times New Roman" w:hAnsi="Times New Roman" w:cs="Times New Roman"/>
          <w:sz w:val="28"/>
          <w:szCs w:val="28"/>
        </w:rPr>
        <w:t xml:space="preserve"> с выделенными для них </w:t>
      </w:r>
      <w:r>
        <w:rPr>
          <w:rFonts w:ascii="Times New Roman" w:hAnsi="Times New Roman" w:cs="Times New Roman"/>
          <w:sz w:val="28"/>
          <w:szCs w:val="28"/>
        </w:rPr>
        <w:t>АРМ администраторов</w:t>
      </w:r>
      <w:r w:rsidR="008E0D50">
        <w:rPr>
          <w:rFonts w:ascii="Times New Roman" w:hAnsi="Times New Roman" w:cs="Times New Roman"/>
          <w:sz w:val="28"/>
          <w:szCs w:val="28"/>
        </w:rPr>
        <w:t xml:space="preserve"> с установленной ОС </w:t>
      </w:r>
      <w:r w:rsidR="008E0D50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6F3690">
        <w:rPr>
          <w:rFonts w:ascii="Times New Roman" w:hAnsi="Times New Roman" w:cs="Times New Roman"/>
          <w:sz w:val="28"/>
          <w:szCs w:val="28"/>
        </w:rPr>
        <w:t>кредитн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F3690">
        <w:rPr>
          <w:rFonts w:ascii="Times New Roman" w:hAnsi="Times New Roman" w:cs="Times New Roman"/>
          <w:sz w:val="28"/>
          <w:szCs w:val="28"/>
        </w:rPr>
        <w:t xml:space="preserve">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C5F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 работе с </w:t>
      </w:r>
      <w:r w:rsidR="00FC5F25">
        <w:rPr>
          <w:rFonts w:ascii="Times New Roman" w:hAnsi="Times New Roman" w:cs="Times New Roman"/>
          <w:sz w:val="28"/>
          <w:szCs w:val="28"/>
        </w:rPr>
        <w:t xml:space="preserve">выделенными для них </w:t>
      </w:r>
      <w:r>
        <w:rPr>
          <w:rFonts w:ascii="Times New Roman" w:hAnsi="Times New Roman" w:cs="Times New Roman"/>
          <w:sz w:val="28"/>
          <w:szCs w:val="28"/>
        </w:rPr>
        <w:t>АРМ сотрудников</w:t>
      </w:r>
      <w:r w:rsidR="008E0D50" w:rsidRPr="008E0D50">
        <w:rPr>
          <w:rFonts w:ascii="Times New Roman" w:hAnsi="Times New Roman" w:cs="Times New Roman"/>
          <w:sz w:val="28"/>
          <w:szCs w:val="28"/>
        </w:rPr>
        <w:t xml:space="preserve"> </w:t>
      </w:r>
      <w:r w:rsidR="008E0D50">
        <w:rPr>
          <w:rFonts w:ascii="Times New Roman" w:hAnsi="Times New Roman" w:cs="Times New Roman"/>
          <w:sz w:val="28"/>
          <w:szCs w:val="28"/>
        </w:rPr>
        <w:t xml:space="preserve">с установленной ОС </w:t>
      </w:r>
      <w:r w:rsidR="008E0D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C5F25">
        <w:rPr>
          <w:rFonts w:ascii="Times New Roman" w:hAnsi="Times New Roman" w:cs="Times New Roman"/>
          <w:sz w:val="28"/>
          <w:szCs w:val="28"/>
        </w:rPr>
        <w:t>.</w:t>
      </w:r>
    </w:p>
    <w:p w14:paraId="2A895C1E" w14:textId="142E0621" w:rsidR="004C6BCF" w:rsidRPr="005D1307" w:rsidRDefault="0075443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C6BCF" w:rsidRPr="005D1307">
        <w:rPr>
          <w:rFonts w:ascii="Times New Roman" w:hAnsi="Times New Roman" w:cs="Times New Roman"/>
          <w:sz w:val="28"/>
          <w:szCs w:val="28"/>
        </w:rPr>
        <w:t>руппы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АС потребительского кредитования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95E076" w14:textId="0B96CE97" w:rsidR="00583D4F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6E0C561A" w14:textId="55105939" w:rsidR="00992DDD" w:rsidRDefault="00992DDD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="006D6AD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веб-серве</w:t>
      </w:r>
      <w:r w:rsidR="006D6AD1">
        <w:rPr>
          <w:rFonts w:ascii="Times New Roman" w:hAnsi="Times New Roman" w:cs="Times New Roman"/>
          <w:sz w:val="28"/>
          <w:szCs w:val="28"/>
        </w:rPr>
        <w:t>ре</w:t>
      </w:r>
      <w:r w:rsidR="00F87F0B">
        <w:rPr>
          <w:rFonts w:ascii="Times New Roman" w:hAnsi="Times New Roman" w:cs="Times New Roman"/>
          <w:sz w:val="28"/>
          <w:szCs w:val="28"/>
        </w:rPr>
        <w:t>.</w:t>
      </w:r>
    </w:p>
    <w:p w14:paraId="4C3BF743" w14:textId="7BC1D207" w:rsidR="00CF5B56" w:rsidRDefault="00C74760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F87F0B">
        <w:rPr>
          <w:rFonts w:ascii="Times New Roman" w:hAnsi="Times New Roman" w:cs="Times New Roman"/>
          <w:sz w:val="28"/>
          <w:szCs w:val="28"/>
        </w:rPr>
        <w:t>.</w:t>
      </w:r>
    </w:p>
    <w:p w14:paraId="2BB0842B" w14:textId="185FD119" w:rsidR="00C90D31" w:rsidRPr="00825FE5" w:rsidRDefault="00C90D3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(Django)</w:t>
      </w:r>
    </w:p>
    <w:p w14:paraId="05FB757A" w14:textId="3989C44B" w:rsidR="00583D4F" w:rsidRPr="00583D4F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4510CC86" w14:textId="2C5F512E" w:rsidR="006D6AD1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151327D" w14:textId="610447FD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на сервере БД.</w:t>
      </w:r>
    </w:p>
    <w:p w14:paraId="586F1294" w14:textId="06C74C3C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БД.</w:t>
      </w:r>
    </w:p>
    <w:p w14:paraId="5F5DBE13" w14:textId="77777777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 xml:space="preserve">ОС на АРМ </w:t>
      </w:r>
      <w:r>
        <w:rPr>
          <w:rFonts w:ascii="Times New Roman" w:hAnsi="Times New Roman" w:cs="Times New Roman"/>
          <w:sz w:val="28"/>
          <w:szCs w:val="28"/>
        </w:rPr>
        <w:t>администраторов.</w:t>
      </w:r>
    </w:p>
    <w:p w14:paraId="555956A4" w14:textId="2127B95F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на АРМ сотрудников.</w:t>
      </w:r>
    </w:p>
    <w:p w14:paraId="6941C13C" w14:textId="77777777" w:rsid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Клиентский интерфейс.</w:t>
      </w:r>
    </w:p>
    <w:p w14:paraId="1A9F0785" w14:textId="77777777" w:rsid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системных администраторов.</w:t>
      </w:r>
    </w:p>
    <w:p w14:paraId="72F983CA" w14:textId="19529F1D" w:rsidR="004F552B" w:rsidRP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сотрудников.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систем и сетей или обеспечивающие системы оператора (администрация, 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555197A8" w:rsidR="00C17E37" w:rsidRDefault="00C17E37" w:rsidP="00321205">
      <w:pPr>
        <w:tabs>
          <w:tab w:val="left" w:pos="32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B04189" w14:textId="30AD357F" w:rsidR="00C606F1" w:rsidRPr="005D1307" w:rsidRDefault="00321205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606F1" w:rsidRPr="00C606F1">
        <w:rPr>
          <w:rFonts w:ascii="Times New Roman" w:hAnsi="Times New Roman" w:cs="Times New Roman"/>
          <w:sz w:val="28"/>
          <w:szCs w:val="28"/>
        </w:rPr>
        <w:t xml:space="preserve"> таблице 5 </w:t>
      </w:r>
      <w:r>
        <w:rPr>
          <w:rFonts w:ascii="Times New Roman" w:hAnsi="Times New Roman" w:cs="Times New Roman"/>
          <w:sz w:val="28"/>
          <w:szCs w:val="28"/>
        </w:rPr>
        <w:t>указаны</w:t>
      </w:r>
      <w:r w:rsidR="00C606F1" w:rsidRPr="00C606F1">
        <w:rPr>
          <w:rFonts w:ascii="Times New Roman" w:hAnsi="Times New Roman" w:cs="Times New Roman"/>
          <w:sz w:val="28"/>
          <w:szCs w:val="28"/>
        </w:rPr>
        <w:t xml:space="preserve"> </w:t>
      </w:r>
      <w:r w:rsidR="001C61C7" w:rsidRPr="001C61C7">
        <w:rPr>
          <w:rFonts w:ascii="Times New Roman" w:hAnsi="Times New Roman" w:cs="Times New Roman"/>
          <w:sz w:val="28"/>
          <w:szCs w:val="28"/>
        </w:rPr>
        <w:t xml:space="preserve">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</w:t>
      </w:r>
      <w:r w:rsidR="001C61C7">
        <w:rPr>
          <w:rFonts w:ascii="Times New Roman" w:hAnsi="Times New Roman" w:cs="Times New Roman"/>
          <w:sz w:val="28"/>
          <w:szCs w:val="28"/>
        </w:rPr>
        <w:t xml:space="preserve">потребительскими </w:t>
      </w:r>
      <w:r w:rsidR="001C61C7" w:rsidRPr="001C61C7">
        <w:rPr>
          <w:rFonts w:ascii="Times New Roman" w:hAnsi="Times New Roman" w:cs="Times New Roman"/>
          <w:sz w:val="28"/>
          <w:szCs w:val="28"/>
        </w:rPr>
        <w:t>кредитами</w:t>
      </w:r>
      <w:r w:rsidR="00C606F1" w:rsidRPr="00C60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4543F445" w:rsidR="004C6BCF" w:rsidRPr="00812149" w:rsidRDefault="000F5EFA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5B92E11D" w:rsidR="004C6BCF" w:rsidRPr="005D1307" w:rsidRDefault="006F260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  <w:r w:rsidR="00625CEF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625CEF"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0885721F" w:rsidR="00C17E37" w:rsidRDefault="00CD1DB8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24B7B">
        <w:rPr>
          <w:rFonts w:ascii="Times New Roman" w:hAnsi="Times New Roman" w:cs="Times New Roman"/>
          <w:sz w:val="28"/>
          <w:szCs w:val="28"/>
        </w:rPr>
        <w:t xml:space="preserve">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уязвимостей кода программного </w:t>
            </w: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C3BB1C" w14:textId="32CE8273" w:rsidR="00625E52" w:rsidRDefault="00625E52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методике ФСТЭК России угроза является возможной если есть негативные последствия, нарушитель, объект воздействия, способ реализации. Анализ возможных УБИ представлен в таблице 7.</w:t>
      </w:r>
    </w:p>
    <w:p w14:paraId="4B0AE305" w14:textId="77777777" w:rsidR="00674AD4" w:rsidRDefault="00674AD4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36F13854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8205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6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820536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7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4B55ECB5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</w:t>
      </w:r>
      <w:r w:rsidR="00A101E5">
        <w:rPr>
          <w:rFonts w:ascii="Times New Roman" w:hAnsi="Times New Roman" w:cs="Times New Roman"/>
          <w:sz w:val="28"/>
          <w:szCs w:val="28"/>
        </w:rPr>
        <w:t xml:space="preserve"> в приказе</w:t>
      </w:r>
      <w:r w:rsidR="00845B45">
        <w:rPr>
          <w:rFonts w:ascii="Times New Roman" w:hAnsi="Times New Roman" w:cs="Times New Roman"/>
          <w:sz w:val="28"/>
          <w:szCs w:val="28"/>
        </w:rPr>
        <w:t xml:space="preserve">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441C5905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B73E60">
        <w:rPr>
          <w:rFonts w:ascii="Times New Roman" w:hAnsi="Times New Roman" w:cs="Times New Roman"/>
          <w:sz w:val="28"/>
          <w:szCs w:val="28"/>
        </w:rPr>
        <w:t xml:space="preserve"> России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43AF2A19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 xml:space="preserve">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9177CC" w:rsidRPr="009177CC">
        <w:rPr>
          <w:rFonts w:ascii="Times New Roman" w:hAnsi="Times New Roman" w:cs="Times New Roman"/>
          <w:sz w:val="28"/>
          <w:szCs w:val="28"/>
        </w:rPr>
        <w:t xml:space="preserve">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8205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8"/>
    </w:p>
    <w:p w14:paraId="570F4128" w14:textId="3459D582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lastRenderedPageBreak/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видеокамер, микрофонов и тп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3D69FCE2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 xml:space="preserve">В частности, был проведен анализ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9811D8">
        <w:rPr>
          <w:rFonts w:ascii="Times New Roman" w:hAnsi="Times New Roman" w:cs="Times New Roman"/>
          <w:sz w:val="28"/>
          <w:szCs w:val="28"/>
        </w:rPr>
        <w:t xml:space="preserve">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 xml:space="preserve">и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9811D8">
        <w:rPr>
          <w:rFonts w:ascii="Times New Roman" w:hAnsi="Times New Roman" w:cs="Times New Roman"/>
          <w:sz w:val="28"/>
          <w:szCs w:val="28"/>
        </w:rPr>
        <w:t xml:space="preserve">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63B91BB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69DCD5A5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приказу </w:t>
            </w:r>
            <w:r w:rsidR="00874A85">
              <w:rPr>
                <w:rFonts w:ascii="Times New Roman" w:hAnsi="Times New Roman" w:cs="Times New Roman"/>
                <w:b/>
                <w:sz w:val="24"/>
                <w:szCs w:val="24"/>
              </w:rPr>
              <w:t>ФСТЭК РОССИИ</w:t>
            </w: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234974A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приказ </w:t>
            </w:r>
            <w:r w:rsidR="00874A85">
              <w:rPr>
                <w:rFonts w:ascii="Times New Roman" w:hAnsi="Times New Roman" w:cs="Times New Roman"/>
                <w:b/>
                <w:sz w:val="24"/>
                <w:szCs w:val="24"/>
              </w:rPr>
              <w:t>ФСТЭК РОССИИ</w:t>
            </w: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6066026F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CA1BEE" w:rsidRPr="00CA1BEE">
        <w:rPr>
          <w:rFonts w:ascii="Times New Roman" w:hAnsi="Times New Roman" w:cs="Times New Roman"/>
          <w:sz w:val="28"/>
          <w:szCs w:val="28"/>
        </w:rPr>
        <w:t xml:space="preserve">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CA1BEE" w:rsidRPr="00CA1BEE">
        <w:rPr>
          <w:rFonts w:ascii="Times New Roman" w:hAnsi="Times New Roman" w:cs="Times New Roman"/>
          <w:sz w:val="28"/>
          <w:szCs w:val="28"/>
        </w:rPr>
        <w:t xml:space="preserve">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2893D84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311">
        <w:rPr>
          <w:rFonts w:ascii="Times New Roman" w:hAnsi="Times New Roman" w:cs="Times New Roman"/>
          <w:sz w:val="28"/>
          <w:szCs w:val="28"/>
        </w:rPr>
        <w:t xml:space="preserve">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70907C47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311">
        <w:rPr>
          <w:rFonts w:ascii="Times New Roman" w:hAnsi="Times New Roman" w:cs="Times New Roman"/>
          <w:sz w:val="28"/>
          <w:szCs w:val="28"/>
        </w:rPr>
        <w:t xml:space="preserve">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311">
        <w:rPr>
          <w:rFonts w:ascii="Times New Roman" w:hAnsi="Times New Roman" w:cs="Times New Roman"/>
          <w:sz w:val="28"/>
          <w:szCs w:val="28"/>
        </w:rPr>
        <w:t xml:space="preserve">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311">
        <w:rPr>
          <w:rFonts w:ascii="Times New Roman" w:hAnsi="Times New Roman" w:cs="Times New Roman"/>
          <w:sz w:val="28"/>
          <w:szCs w:val="28"/>
        </w:rPr>
        <w:t xml:space="preserve">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8205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 автоматизированной системы потребительских кредитов</w:t>
      </w:r>
      <w:bookmarkEnd w:id="9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820539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  <w:bookmarkEnd w:id="10"/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0FEE228A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</w:t>
      </w:r>
      <w:r w:rsidR="00C07272">
        <w:rPr>
          <w:rFonts w:ascii="Times New Roman" w:hAnsi="Times New Roman" w:cs="Times New Roman"/>
          <w:sz w:val="28"/>
          <w:szCs w:val="28"/>
        </w:rPr>
        <w:t>6</w:t>
      </w:r>
      <w:r w:rsidRPr="00A44803">
        <w:rPr>
          <w:rFonts w:ascii="Times New Roman" w:hAnsi="Times New Roman" w:cs="Times New Roman"/>
          <w:sz w:val="28"/>
          <w:szCs w:val="28"/>
        </w:rPr>
        <w:t xml:space="preserve">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обеспечение, которое должно обнаруживать атаки (в том числе DDoS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версионного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Блокхост-Сеть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Mind tracker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0F94287B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 были выбраны наиболее эффективные средства для обеспечения безопасности системы.</w:t>
      </w:r>
    </w:p>
    <w:p w14:paraId="0BA55D69" w14:textId="09802275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надежную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4808129E" w14:textId="00AF85DE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средства защиты информации не только эффективно предотвращают несанкционированный доступ к системе, но и обеспечивают контроль за целостностью и конфиденциальностью данных. Это позволяет минимизировать риски утечек информации и сохранять высокий уровень доверия пользователей к системе. Такой подход соответствует современным требованиям безопасности данных и обеспечивает стабильную и защищенную работу автоматизированной системы.</w:t>
      </w:r>
    </w:p>
    <w:p w14:paraId="541C4D4E" w14:textId="0D4E3E96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технические средства защиты информации также обеспечивают возможность быстрого реагирования на потенциальные угрозы и инциденты безопасности. Их системы мониторинга и реагирования позволяют оперативно выявлять аномалии в работе системы и предпринимать необходимые меры по устранению уязвимостей. Такой комплексный подход гарантирует непрерывную и эффективную защиту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6E086" w14:textId="77777777" w:rsidR="00AF1AAA" w:rsidRDefault="00AF1AAA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8205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11"/>
    </w:p>
    <w:p w14:paraId="1BB381EF" w14:textId="0EB3B5D8" w:rsidR="00A01D7F" w:rsidRDefault="002706F8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основные моменты необходимые для написания технического задания, представленного в приложении А.</w:t>
      </w:r>
    </w:p>
    <w:p w14:paraId="2AEF03BF" w14:textId="7BEE29D7" w:rsidR="002706F8" w:rsidRDefault="004D3536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536">
        <w:rPr>
          <w:rFonts w:ascii="Times New Roman" w:hAnsi="Times New Roman" w:cs="Times New Roman"/>
          <w:sz w:val="28"/>
          <w:szCs w:val="28"/>
        </w:rPr>
        <w:t>Цель проекта — разработка и внедрение автоматизированной системы управления кредитными операциями, которая будет обеспечивать эффективную обработку и управление информацией о кредитах в потребительском банковском секторе.</w:t>
      </w:r>
    </w:p>
    <w:p w14:paraId="073C379A" w14:textId="331CF570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будет включать следующие ключевые компоненты:</w:t>
      </w:r>
    </w:p>
    <w:p w14:paraId="74A202B8" w14:textId="7777777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Серверная часть: Серверы для хранения и обработки данных.</w:t>
      </w:r>
    </w:p>
    <w:p w14:paraId="064F493B" w14:textId="299F576E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Защитные механизмы: Межсетевой экран, антивирусное ПО.</w:t>
      </w:r>
    </w:p>
    <w:p w14:paraId="1FBF8608" w14:textId="26755F0F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lastRenderedPageBreak/>
        <w:t>Пользовательские интерфейсы: Рабочие станции для администраторов и операторов, а также веб-интерфейс.</w:t>
      </w:r>
    </w:p>
    <w:p w14:paraId="73DB8DD0" w14:textId="77777777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предоставлять следующие функции:</w:t>
      </w:r>
    </w:p>
    <w:p w14:paraId="7A698605" w14:textId="5BB675D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3D476EB2" w14:textId="6C0E81DD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договоров;</w:t>
      </w:r>
    </w:p>
    <w:p w14:paraId="44BEF650" w14:textId="05E048AB" w:rsidR="00A30C28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37A2746F" w14:textId="73895DDB" w:rsidR="002F4B43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обеспечивать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1E5">
        <w:rPr>
          <w:rFonts w:ascii="Times New Roman" w:hAnsi="Times New Roman" w:cs="Times New Roman"/>
          <w:sz w:val="28"/>
          <w:szCs w:val="28"/>
        </w:rPr>
        <w:t xml:space="preserve"> Также система</w:t>
      </w:r>
      <w:r w:rsidRPr="0005346D">
        <w:rPr>
          <w:rFonts w:ascii="Times New Roman" w:hAnsi="Times New Roman" w:cs="Times New Roman"/>
          <w:sz w:val="28"/>
          <w:szCs w:val="28"/>
        </w:rPr>
        <w:t xml:space="preserve"> будет построена на базе PostgreSQL для управления базами данных и будет использовать Kaspersky для защиты от вирусов и других угроз.</w:t>
      </w:r>
    </w:p>
    <w:p w14:paraId="26FD0E8D" w14:textId="2D45F5D3" w:rsidR="0005346D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Реализация проекта позволит повысить эффективность обработки кредитных операций, улучшить качество обслуживания клиентов и обеспечить высокий уровень безопасности данных. Успешность проекта будет оцениваться по критериям скорости обработки заявок, надежности системы и удовлетворенности клиентов</w:t>
      </w:r>
      <w:r w:rsidR="00F9302B">
        <w:rPr>
          <w:rFonts w:ascii="Times New Roman" w:hAnsi="Times New Roman" w:cs="Times New Roman"/>
          <w:sz w:val="28"/>
          <w:szCs w:val="28"/>
        </w:rPr>
        <w:t>.</w:t>
      </w:r>
    </w:p>
    <w:p w14:paraId="10D46939" w14:textId="77777777" w:rsidR="00F9302B" w:rsidRPr="0005346D" w:rsidRDefault="00F930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820541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3A6DCF3C" w:rsidR="002F4B43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Анализ существующих методов и технологий защиты данных показал, что для обеспечения безопасности в автоматизированных системах выдачи кредитов необходимо использовать многоуровневый подход. Современные решения включают в себя комплексные меры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проблем</w:t>
      </w:r>
      <w:r w:rsidRPr="008E0991">
        <w:rPr>
          <w:rFonts w:ascii="Times New Roman" w:hAnsi="Times New Roman" w:cs="Times New Roman"/>
          <w:sz w:val="28"/>
          <w:szCs w:val="28"/>
        </w:rPr>
        <w:t>. Наиболее эффективными являются решения, которые обеспечива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8E0991">
        <w:rPr>
          <w:rFonts w:ascii="Times New Roman" w:hAnsi="Times New Roman" w:cs="Times New Roman"/>
          <w:sz w:val="28"/>
          <w:szCs w:val="28"/>
        </w:rPr>
        <w:t xml:space="preserve"> всестороннюю защиту данных как на уровне хранения, так и на уровне передачи информации.</w:t>
      </w:r>
    </w:p>
    <w:p w14:paraId="1ACF2398" w14:textId="1378EB08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Критерии эффективности и безопасности системы защиты были определены на основе анализа стандартов в области информационной безопасности. Основными критериями стали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E0991">
        <w:rPr>
          <w:rFonts w:ascii="Times New Roman" w:hAnsi="Times New Roman" w:cs="Times New Roman"/>
          <w:sz w:val="28"/>
          <w:szCs w:val="28"/>
        </w:rPr>
        <w:t>онфиденциальность</w:t>
      </w:r>
      <w:r>
        <w:rPr>
          <w:rFonts w:ascii="Times New Roman" w:hAnsi="Times New Roman" w:cs="Times New Roman"/>
          <w:sz w:val="28"/>
          <w:szCs w:val="28"/>
        </w:rPr>
        <w:t>, ц</w:t>
      </w:r>
      <w:r w:rsidRPr="008E0991">
        <w:rPr>
          <w:rFonts w:ascii="Times New Roman" w:hAnsi="Times New Roman" w:cs="Times New Roman"/>
          <w:sz w:val="28"/>
          <w:szCs w:val="28"/>
        </w:rPr>
        <w:t>елостность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8E0991">
        <w:rPr>
          <w:rFonts w:ascii="Times New Roman" w:hAnsi="Times New Roman" w:cs="Times New Roman"/>
          <w:sz w:val="28"/>
          <w:szCs w:val="28"/>
        </w:rPr>
        <w:t>оступность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8E0991">
        <w:rPr>
          <w:rFonts w:ascii="Times New Roman" w:hAnsi="Times New Roman" w:cs="Times New Roman"/>
          <w:sz w:val="28"/>
          <w:szCs w:val="28"/>
        </w:rPr>
        <w:t>ростота управления и мониторинга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8E0991">
        <w:rPr>
          <w:rFonts w:ascii="Times New Roman" w:hAnsi="Times New Roman" w:cs="Times New Roman"/>
          <w:sz w:val="28"/>
          <w:szCs w:val="28"/>
        </w:rPr>
        <w:t>оответствие требованиям законодательства.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991">
        <w:rPr>
          <w:rFonts w:ascii="Times New Roman" w:hAnsi="Times New Roman" w:cs="Times New Roman"/>
          <w:sz w:val="28"/>
          <w:szCs w:val="28"/>
        </w:rPr>
        <w:t xml:space="preserve">Эти критерии </w:t>
      </w:r>
      <w:r>
        <w:rPr>
          <w:rFonts w:ascii="Times New Roman" w:hAnsi="Times New Roman" w:cs="Times New Roman"/>
          <w:sz w:val="28"/>
          <w:szCs w:val="28"/>
        </w:rPr>
        <w:t>позволили</w:t>
      </w:r>
      <w:r w:rsidRPr="008E0991">
        <w:rPr>
          <w:rFonts w:ascii="Times New Roman" w:hAnsi="Times New Roman" w:cs="Times New Roman"/>
          <w:sz w:val="28"/>
          <w:szCs w:val="28"/>
        </w:rPr>
        <w:t xml:space="preserve"> провести последующую оценку безопасности и эффективности систем</w:t>
      </w:r>
      <w:r w:rsidR="00FA0276">
        <w:rPr>
          <w:rFonts w:ascii="Times New Roman" w:hAnsi="Times New Roman" w:cs="Times New Roman"/>
          <w:sz w:val="28"/>
          <w:szCs w:val="28"/>
        </w:rPr>
        <w:t>ы</w:t>
      </w:r>
      <w:r w:rsidRPr="008E0991">
        <w:rPr>
          <w:rFonts w:ascii="Times New Roman" w:hAnsi="Times New Roman" w:cs="Times New Roman"/>
          <w:sz w:val="28"/>
          <w:szCs w:val="28"/>
        </w:rPr>
        <w:t>.</w:t>
      </w:r>
    </w:p>
    <w:p w14:paraId="4B3ABEDB" w14:textId="44D92EB1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На основе проведенного анализа и определенных критериев эффективности и безопасности было спроектировано техническое задание. В техническом задании описаны требования к системе защиты данных, включая функциональные и нефункциональные требования, а также методы и средства защиты, которые будут использованы.</w:t>
      </w:r>
    </w:p>
    <w:p w14:paraId="4F6FBA65" w14:textId="530D5F49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Выполнение поставленных задач позволило провести комплексный анализ методов и технологий защиты данных, определить ключевые критерии эффективности и безопасности, а также спроектировать техническое задание для системы защиты данных в автоматизированной системе выдачи кредитов. Эти шаги обеспечат надежную защиту информации.</w:t>
      </w:r>
    </w:p>
    <w:p w14:paraId="5515A381" w14:textId="77777777" w:rsidR="008E0991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7820542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3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69AA7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FFA56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5746B1" w14:textId="0BABDEC6" w:rsid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"ГОСТ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 // КонсультантПлюс URL: https://ac-mos.ru/about/price-expert/chatbot/market-price/download/estimate/223-ФЗ/Методика18-Р/НПА/10.%20ГОСТ%2034.602-2020.%20Межгосударственный%20стандарт.%20Информационны.pdf (дата обращения: 28.05.2024).</w:t>
      </w:r>
    </w:p>
    <w:p w14:paraId="0DE1A984" w14:textId="1EF83484" w:rsidR="00ED296B" w:rsidRP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Методический документ от 5 февраля 2021 г. "МЕТОДИКА ОЦЕНКИ УГРОЗ БЕЗОПАСНОСТИ ИНФОРМАЦИИ" // ФЕДЕРАЛЬНАЯ СЛУЖБА ПО ТЕХНИЧЕСКОМУ И ЭКСПОРТНОМУ КОНТРОЛЮ URL: https://fstec.ru/dokumenty/vse-dokumenty/spetsialnye-normativnye-dokumenty/metodicheskij-dokument-ot-5-fevralya-2021-g (дата обращения: 28.05.2024).</w:t>
      </w:r>
    </w:p>
    <w:p w14:paraId="5917DD86" w14:textId="3FDE6E68" w:rsidR="0076053A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 // КонсультантПлюс URL: https://www.consultant.ru/document/cons_doc_LAW_137356/8c86cf6357879e861790a8a7ca8bea4227d56c72/ (дата обращения: 28.05.2024).</w:t>
      </w:r>
    </w:p>
    <w:p w14:paraId="3FACE536" w14:textId="37D92681" w:rsidR="000833FD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Приказ № 486 «Об утверждении классификатора программ для электронных вычислительных машин и баз данных» // Министерство цифрового развития, связи и массовых коммуникаций Российской Федерации URL: https://digital.gov.ru/ru/documents/7362/ (дата обращения: 28.05.2024).</w:t>
      </w:r>
    </w:p>
    <w:p w14:paraId="519B3B44" w14:textId="251F75E6" w:rsidR="001D7CA8" w:rsidRDefault="006420E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ФСБ России от 10 июля 2014 г. N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</w:t>
      </w:r>
      <w:r w:rsidRPr="006420E9">
        <w:rPr>
          <w:rFonts w:ascii="Times New Roman" w:hAnsi="Times New Roman" w:cs="Times New Roman"/>
          <w:sz w:val="28"/>
          <w:szCs w:val="28"/>
        </w:rPr>
        <w:lastRenderedPageBreak/>
        <w:t>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 // ГАРАНТ URL: https://ivo.garant.ru/#/document/70727118/paragraph/1:0 (дата обращения: 28.05.2024).</w:t>
      </w:r>
    </w:p>
    <w:p w14:paraId="73D81E69" w14:textId="03BC950C" w:rsid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0E9">
        <w:rPr>
          <w:rFonts w:ascii="Times New Roman" w:hAnsi="Times New Roman" w:cs="Times New Roman"/>
          <w:sz w:val="28"/>
          <w:szCs w:val="28"/>
        </w:rPr>
        <w:t xml:space="preserve"> России от 11 февраля 2013 г. N 17 "ОБ УТВЕРЖДЕНИИ ТРЕБОВАНИЙ О ЗАЩИТЕ ИНФОРМАЦИИ, НЕ СОСТАВЛЯЮЩЕЙ ГОСУДАРСТВЕННУЮ ТАЙНУ, СОДЕРЖАЩЕЙСЯ В ГОСУДАРСТВЕННЫХ ИНФОРМАЦИОННЫХ СИСТЕМАХ" // ФЕДЕРАЛЬНАЯ СЛУЖБА ПО ТЕХНИЧЕСКОМУ И ЭКСПОРТНОМУ КОНТРОЛЮ URL: https://fstec.ru/dokumenty/vse-dokumenty/prikazy/prikaz-fstek-rossii-ot-11-fevralya-2013-g-n-17 (дата обращения: 28.05.2024).</w:t>
      </w:r>
    </w:p>
    <w:p w14:paraId="1028B4C3" w14:textId="6C796B19" w:rsidR="00614D35" w:rsidRP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0E9">
        <w:rPr>
          <w:rFonts w:ascii="Times New Roman" w:hAnsi="Times New Roman" w:cs="Times New Roman"/>
          <w:sz w:val="28"/>
          <w:szCs w:val="28"/>
        </w:rPr>
        <w:t xml:space="preserve"> России от 18 февраля 2013 г.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 // ФЕДЕРАЛЬНАЯ СЛУЖБА ПО ТЕХНИЧЕСКОМУ И ЭКСПОРТНОМУ КОНТРОЛЮ URL: https://fstec.ru/dokumenty/vse-dokumenty/prikazy/prikaz-fstek-rossii-ot-18-fevralya-2013-g-n-21 (дата обращения: 28.05.2024).</w:t>
      </w:r>
    </w:p>
    <w:p w14:paraId="7C72CC7D" w14:textId="30B3CF4C" w:rsidR="00E770B6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коммерческой тайне" от 29.07.2004 N 98-ФЗ // КонсультантПлюс URL: https://www.consultant.ru/document/cons_doc_LAW_48699/ (дата обращения: 28.05.2024).</w:t>
      </w:r>
    </w:p>
    <w:p w14:paraId="71A9118F" w14:textId="62285A6B" w:rsidR="00ED296B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28.05.2024).</w:t>
      </w:r>
    </w:p>
    <w:p w14:paraId="5FE23204" w14:textId="4319A8C0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lastRenderedPageBreak/>
        <w:t>Федеральный закон "О персональных данных" от 27.07.2006 N 152-ФЗ // КонсультантПлюс URL: https://www.consultant.ru/document/cons_doc_LAW_61801/ (дата обращения: 28.05.2024).</w:t>
      </w:r>
    </w:p>
    <w:p w14:paraId="627D4F99" w14:textId="50914ABA" w:rsidR="00ED296B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банках и банковской деятельности" от 02.12.1990 N 395-1 // КонсультантПлюс URL: https://www.consultant.ru/document/cons_doc_LAW_5842/ (дата обращения: 28.05.2024).</w:t>
      </w:r>
    </w:p>
    <w:p w14:paraId="0202DDAF" w14:textId="45C07511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IDEF0. Знакомство с нотацией и пример использования // trinion URL: https://www.trinion.org/blog/idef0-znakomstvo-s-notaciey-i-primer-ispolzovaniya (дата обращения: 28.05.2024).</w:t>
      </w:r>
    </w:p>
    <w:p w14:paraId="4E2B0A00" w14:textId="031CBDE0" w:rsidR="007E7B0C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Автоматизация процессов: кому нужна, кто её проводит и какие системы для неё использовать // Skillbox URL: https://skillbox.ru/media/management/avtomatizatsiya-protsessov-komu-nuzhna-kto-eye-provodit-i-kakie-sistemy-dlya-neye-ispolzovat/ (дата обращения: 28.05.2024).</w:t>
      </w:r>
    </w:p>
    <w:p w14:paraId="50D8C917" w14:textId="57E54237" w:rsidR="00237FF9" w:rsidRPr="00237FF9" w:rsidRDefault="006420E9" w:rsidP="00237FF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Банк данных угроз безопасности информации // Федеральная служба по техническому и экспортному контролю URL: https://bdu.fstec.ru/threat (дата обращения: 28.05.2024).</w:t>
      </w:r>
    </w:p>
    <w:p w14:paraId="711F8CED" w14:textId="3792A207" w:rsidR="00937D08" w:rsidRDefault="006352C7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обеспечить кибербезопасность своего бизнеса в 2024 году // РБК Компании URL: https://companies.rbc.ru/news/wUFvbgOC3l/kak-obespechit-kiberbezopasnost-svoego-biznesa-v-2024-godu/ (дата обращения: 28.05.2024).</w:t>
      </w:r>
    </w:p>
    <w:p w14:paraId="2497E4BD" w14:textId="4EB7645F" w:rsidR="009310E7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Методология разработки и архитектура кредитного конвейера АПИКС в Банке ДОМ.РФ // ХАБР URL: https://habr.com/ru/companies/domrf/articles/673628/ (дата обращения: 28.05.2024).</w:t>
      </w:r>
    </w:p>
    <w:p w14:paraId="1AF64411" w14:textId="22AC5140" w:rsidR="007E5AF5" w:rsidRPr="007E5AF5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Обзор отчетности об инцидентах информационной безопасности при переводе денежных средств // Банк России URL: http://cbrf.forwardsoft.ru/statistics/ib/review_1q_2023/ (дата обращения: 28.05.2024).</w:t>
      </w:r>
    </w:p>
    <w:p w14:paraId="72FBEA6C" w14:textId="15A7D3B8" w:rsidR="007E7B0C" w:rsidRDefault="006352C7" w:rsidP="007E7B0C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банкам защитить свои данные // SOLAR URL: https://rt-solar.ru/products/solar_dozor/blog/3541/ (дата обращения: 28.05.2024).</w:t>
      </w:r>
    </w:p>
    <w:p w14:paraId="5BF5E8A9" w14:textId="77777777" w:rsidR="006352C7" w:rsidRDefault="006352C7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lastRenderedPageBreak/>
        <w:t>Разработка автоматизированной информационной системы 'Выдача банком кредита' Источник: https://www.bibliofond.ru/view.aspx?id=656456 © Библиофонд // Библиофонд URL: https://www.bibliofond.ru/view.aspx?id=656456 (дата обращения: 28.05.2024).</w:t>
      </w:r>
    </w:p>
    <w:p w14:paraId="4E7E21FB" w14:textId="1BC7D2FD" w:rsidR="006420E9" w:rsidRPr="00B978D0" w:rsidRDefault="006420E9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РЕЕСТР РОССИЙСКОГО ПРОГРАММНОГО ОБЕСПЕЧЕНИЯ // РЕЕСТР РОССИЙСКОГО ПРОГРАММНОГО ОБЕСПЕЧЕНИЯ URL: https://reestr.digital.gov.ru/ (дата обращения: 28.05.2024).</w:t>
      </w:r>
    </w:p>
    <w:p w14:paraId="05709BCD" w14:textId="77777777" w:rsidR="006420E9" w:rsidRPr="007E7B0C" w:rsidRDefault="006420E9" w:rsidP="00C93B88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08BFDCD" w14:textId="77777777" w:rsidR="00041EF5" w:rsidRDefault="00041EF5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5CCC4755" w:rsidR="002F4B43" w:rsidRPr="0034338D" w:rsidRDefault="00412CF2" w:rsidP="00412C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7820543"/>
      <w:r w:rsidRPr="003433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4"/>
    </w:p>
    <w:p w14:paraId="213784AD" w14:textId="77777777" w:rsidR="00412CF2" w:rsidRPr="00DC2B11" w:rsidRDefault="00412CF2" w:rsidP="00DC2B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5E981C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75D39B96" w14:textId="1C8D012A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Начальник Управления информационных технологий</w:t>
      </w:r>
    </w:p>
    <w:p w14:paraId="5204D096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____________ А. Ю. Чигарев</w:t>
      </w:r>
    </w:p>
    <w:p w14:paraId="1DC2F784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___________ 2021 г. </w:t>
      </w:r>
    </w:p>
    <w:p w14:paraId="5B9E417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41789F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BD4D2C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2446498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0AB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1. Заказчик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Кредитная организация «KsaCredit» (г. Омск, ул. Петра Некрасова, д. 10).</w:t>
      </w:r>
    </w:p>
    <w:p w14:paraId="5E498C1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2. Исполнитель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СИСТЕМАХ», определяется по итогам проведения конкурсных процедур.</w:t>
      </w:r>
    </w:p>
    <w:p w14:paraId="46900FB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3. Период действия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до момента исполнения обязательств по договору.</w:t>
      </w:r>
    </w:p>
    <w:p w14:paraId="1FB6E22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4. Цель и основные требования:</w:t>
      </w:r>
    </w:p>
    <w:p w14:paraId="460DC3E2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4.1.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В целях предотвращения неправомерного доступа к информации, обрабатываемой объектами критической информационной инфраструктуры Кредитной организации «KsaCredit»: </w:t>
      </w:r>
    </w:p>
    <w:p w14:paraId="1920A246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в Кредитной организации «KsaCredit» подсистемы информационной безопасности значимых объектов автоматизированной системы (далее по тексту ПИБ АС); </w:t>
      </w:r>
    </w:p>
    <w:p w14:paraId="13FE23DC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соблюдение требования действующего законодательства Российской Федерации к защите АС. </w:t>
      </w:r>
    </w:p>
    <w:p w14:paraId="17B26CE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5.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Состав и содержание работ (действий)</w:t>
      </w:r>
    </w:p>
    <w:p w14:paraId="3308229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Создание ПИБ АС должны включать в себя следующие работы (действия): </w:t>
      </w:r>
    </w:p>
    <w:p w14:paraId="5A2505A7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разработка проектной и эксплуатационной документации на ПИБ АС;</w:t>
      </w:r>
    </w:p>
    <w:p w14:paraId="5956B3FA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внедрение ПИБ АС;</w:t>
      </w:r>
    </w:p>
    <w:p w14:paraId="6E4375A1" w14:textId="5AC21CD5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разработка внутренней документации, регламентирующей вопросы обеспечения </w:t>
      </w:r>
      <w:r w:rsidR="00A469D5" w:rsidRPr="00DC2B11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АС;</w:t>
      </w:r>
    </w:p>
    <w:p w14:paraId="2D048C56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аттестация ПИБ АС.</w:t>
      </w:r>
    </w:p>
    <w:p w14:paraId="228899FC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6.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(действий).</w:t>
      </w:r>
    </w:p>
    <w:p w14:paraId="6D880A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По завершении работ (действий), указанных в п. 4.1. настоящего технического задания, Исполнитель предоставляет Заказчику необходимую отчетную документацию. Полный перечень отчетных документов представлен в разделе 11 настоящего технического задания. </w:t>
      </w:r>
    </w:p>
    <w:p w14:paraId="1711360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Сдача отчетной документации осуществляется путем предоставления в согласованный срок результата работ в бумажном виде в 1 экземпляре и оформляется сторонами актом приема-передачи документации или накладной о передаче документации.</w:t>
      </w:r>
    </w:p>
    <w:p w14:paraId="0A53638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выполнена на русском языке. </w:t>
      </w:r>
    </w:p>
    <w:p w14:paraId="3C1DB42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6.1.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Объект информатизации Кредитная организация «KsaCredit» эксплуатирует АС по следующим адресам:</w:t>
      </w:r>
    </w:p>
    <w:p w14:paraId="5A94A63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г. Омск, ул. Петра Некрасова, д. 10.</w:t>
      </w:r>
    </w:p>
    <w:p w14:paraId="13B95D5B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7.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14:paraId="493F299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Цели создания ПИБ АС  </w:t>
      </w:r>
    </w:p>
    <w:p w14:paraId="172ACB1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Основными целями создания ПИБ АС являются:</w:t>
      </w:r>
    </w:p>
    <w:p w14:paraId="5FBEE1CA" w14:textId="0FB035B8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требований нормативных правовых актов Российской Федерации, руководящих документов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России, ФСБ России, регламентирующих вопросы защиты информации; </w:t>
      </w:r>
    </w:p>
    <w:p w14:paraId="38E8DC73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защита АС и иной конфиденциальной информации, обрабатываемых техническими средствами, от хищения, утраты, утечки, уничтожения, искажения, подделки и блокирования доступа за счёт комплексного использования организационных, программных, программно-аппаратных средств и мер защиты; </w:t>
      </w:r>
    </w:p>
    <w:p w14:paraId="585DE7F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обнаружение вторжений и предотвращение инцидентов в области информационной безопасности; </w:t>
      </w:r>
    </w:p>
    <w:p w14:paraId="2599C84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реагирование на компьютерные инциденты и принятие мер по ликвидации последствий компьютерных атак на объекты АС в соответствии с требованиями нормативно-правовых актов и Российской Федерации по взаимодействию субъектов АС с государственной системой обнаружения, предупреждения и ликвидации последствий компьютерных атак на информационные ресурсы Российской Федерации.</w:t>
      </w:r>
    </w:p>
    <w:p w14:paraId="17A6015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7.2. Цели проектирования ПИБ АС</w:t>
      </w:r>
    </w:p>
    <w:p w14:paraId="568D8E5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разработки проектной и эксплуатационной документации является определение вида и структуры ПИБ АС её количественных и качественных показателей, параметров настройки СЗИ, а также разработка необходимой документации для последующей эксплуатации ПИБ. </w:t>
      </w:r>
    </w:p>
    <w:p w14:paraId="0F9A7A7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7.3. Цели аттестации ПИБ АС</w:t>
      </w:r>
    </w:p>
    <w:p w14:paraId="345A1A4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аттестации ПИБ АС является оценка эффективности реализованных в рамках подсистемы информационной безопасности мер защиты информации. </w:t>
      </w:r>
    </w:p>
    <w:p w14:paraId="7FAEDB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8.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Общая характеристика АС КО «KsaCredit»</w:t>
      </w:r>
    </w:p>
    <w:p w14:paraId="72350DAA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К АС КО «KsaCredit» подключены автоматизированные рабочие места (далее по тексту АРМ) различных информационных и автоматизированных систем, представляющие из себя IBM PC - совместимый компьютер. Данные АРМ могут быть выполнены в следующих исполнениях: </w:t>
      </w:r>
    </w:p>
    <w:p w14:paraId="785A1A15" w14:textId="77777777" w:rsidR="00412CF2" w:rsidRPr="00DC2B11" w:rsidRDefault="00412CF2" w:rsidP="00DC2B11">
      <w:pPr>
        <w:pStyle w:val="a7"/>
        <w:numPr>
          <w:ilvl w:val="0"/>
          <w:numId w:val="44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>системный блок форм-фактора ATX, mATX;</w:t>
      </w:r>
    </w:p>
    <w:p w14:paraId="33A7840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(далее по тексту ОС) АРМ могут выступать все ОС семейства Windows для рабочих станций. </w:t>
      </w:r>
    </w:p>
    <w:p w14:paraId="3C81BA4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Также к АС КО «KsaCredit» подключены серверы (не более 15 шт.), функционирующие как в режиме физических серверов, так и виртуальных. </w:t>
      </w:r>
    </w:p>
    <w:p w14:paraId="57D3B0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АС КО «KsaCredit» установлен 2 (второй) уровень значимости. Категорирование осуществлялось в соответствии с требованиями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СИСТЕМАХ». </w:t>
      </w:r>
    </w:p>
    <w:p w14:paraId="6F344F1E" w14:textId="68902FD4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Для целей защиты информации КО «KsaCredit» использует следующие СЗИ, имеющие сертификат, выданный Федеральной службы по техническому и экспортному контролю (далее по тексту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4CC2D6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1. С целью обеспечения защиты от несанкционированного доступа эксплуатируются СЗИ «DALLAS LOCK 8.0‑С» (Х шт.) подключенные к единому серверу безопасности СЗИ «DALLAS LOCK 8.0‑С»</w:t>
      </w:r>
    </w:p>
    <w:p w14:paraId="67F5C94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2.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Антивирусную защиту обеспечивает СЗИ «Kaspersky Standard» (лицензия на Х узлов)</w:t>
      </w:r>
    </w:p>
    <w:p w14:paraId="5B37062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9. Требования к созданию АС</w:t>
      </w:r>
    </w:p>
    <w:p w14:paraId="68F4C955" w14:textId="37D8A38F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9.1. Требования руководящих документов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России, ФСБ России. </w:t>
      </w:r>
    </w:p>
    <w:p w14:paraId="11DCABAE" w14:textId="707E80BF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соответствии с «Об утверждении требований о защите информации, не составляющей государственную тайну, содержащейся в государственных информационных системах», утвержденными приказом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России №17, при установленном 2 уровне защищенности, итоговым набором мер по обеспечению безопасности для АС будут являться меры, приведённые в таблице 9.1.</w:t>
      </w:r>
    </w:p>
    <w:p w14:paraId="59B2F7F8" w14:textId="77777777" w:rsidR="00412CF2" w:rsidRPr="00DC2B11" w:rsidRDefault="00412CF2" w:rsidP="00DC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Таблица 9.1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Итоговый набор мер для 2 уровня значимости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8222"/>
      </w:tblGrid>
      <w:tr w:rsidR="00412CF2" w:rsidRPr="00E828B3" w14:paraId="0EE9A984" w14:textId="77777777" w:rsidTr="00E828B3">
        <w:trPr>
          <w:trHeight w:val="276"/>
          <w:tblHeader/>
        </w:trPr>
        <w:tc>
          <w:tcPr>
            <w:tcW w:w="7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DFC30E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lastRenderedPageBreak/>
              <w:t>Идентификатор</w:t>
            </w:r>
          </w:p>
        </w:tc>
        <w:tc>
          <w:tcPr>
            <w:tcW w:w="42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4AC162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412CF2" w:rsidRPr="00E828B3" w14:paraId="2D219C1F" w14:textId="77777777" w:rsidTr="00E828B3">
        <w:trPr>
          <w:trHeight w:val="276"/>
          <w:tblHeader/>
        </w:trPr>
        <w:tc>
          <w:tcPr>
            <w:tcW w:w="7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18E96C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BF9E1E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CF2" w:rsidRPr="00E828B3" w14:paraId="2C14BEC9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6F26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412CF2" w:rsidRPr="00E828B3" w14:paraId="54DC011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E7DFB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7D45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412CF2" w:rsidRPr="00E828B3" w14:paraId="4CA7BD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22C1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7EAC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412CF2" w:rsidRPr="00E828B3" w14:paraId="588240E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16B7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24F97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412CF2" w:rsidRPr="00E828B3" w14:paraId="07EB19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00205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E5048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412CF2" w:rsidRPr="00E828B3" w14:paraId="358659B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31389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55255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412CF2" w:rsidRPr="00E828B3" w14:paraId="2C99E01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BA20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F3F8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12CF2" w:rsidRPr="00E828B3" w14:paraId="22776F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36E1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12CF2" w:rsidRPr="00E828B3" w14:paraId="10D6003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072C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AB8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412CF2" w:rsidRPr="00E828B3" w14:paraId="3A28ACD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42C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C2E71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412CF2" w:rsidRPr="00E828B3" w14:paraId="6295A7C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7B3FD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4E155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412CF2" w:rsidRPr="00E828B3" w14:paraId="293BC18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539E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2F0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412CF2" w:rsidRPr="00E828B3" w14:paraId="5D85E06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7C63E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2A66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412CF2" w:rsidRPr="00E828B3" w14:paraId="2403513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FFCC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9C47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412CF2" w:rsidRPr="00E828B3" w14:paraId="3BAC450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4F7D1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F2B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412CF2" w:rsidRPr="00E828B3" w14:paraId="1A1B38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E09ED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39952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412CF2" w:rsidRPr="00E828B3" w14:paraId="6206713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4250E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272D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412CF2" w:rsidRPr="00E828B3" w14:paraId="10CC46E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31EA7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УПД.17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FC22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412CF2" w:rsidRPr="00E828B3" w14:paraId="69E57FB1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C9F5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412CF2" w:rsidRPr="00E828B3" w14:paraId="15B6CD8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60AB4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888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412CF2" w:rsidRPr="00E828B3" w14:paraId="4797E32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7D7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C8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412CF2" w:rsidRPr="00E828B3" w14:paraId="1D251A25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F369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412CF2" w:rsidRPr="00E828B3" w14:paraId="11969BE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68C1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DBDC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412CF2" w:rsidRPr="00E828B3" w14:paraId="1B68DD9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E775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BE3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412CF2" w:rsidRPr="00E828B3" w14:paraId="602462E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0A61C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56847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412CF2" w:rsidRPr="00E828B3" w14:paraId="0EF44D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F429E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8CD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412CF2" w:rsidRPr="00E828B3" w14:paraId="079AD6A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4C6A6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412CF2" w:rsidRPr="00E828B3" w14:paraId="7FB462B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960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7ABD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412CF2" w:rsidRPr="00E828B3" w14:paraId="767025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3BADA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825E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412CF2" w:rsidRPr="00E828B3" w14:paraId="7A9F723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4D012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3349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412CF2" w:rsidRPr="00E828B3" w14:paraId="09D976C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EE146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90AA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412CF2" w:rsidRPr="00E828B3" w14:paraId="644768C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AE0B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F0A71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412CF2" w:rsidRPr="00E828B3" w14:paraId="5AD012F8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8BC6C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559F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412CF2" w:rsidRPr="00E828B3" w14:paraId="4375B66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49FE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27BC7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412CF2" w:rsidRPr="00E828B3" w14:paraId="004E142A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E4A9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412CF2" w:rsidRPr="00E828B3" w14:paraId="204B44C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68393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67E8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412CF2" w:rsidRPr="00E828B3" w14:paraId="2B2CC2D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9986B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АВЗ.2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1015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412CF2" w:rsidRPr="00E828B3" w14:paraId="027387EE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C96D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412CF2" w:rsidRPr="00E828B3" w14:paraId="4674ACA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3276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F5F99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412CF2" w:rsidRPr="00E828B3" w14:paraId="71A294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0FA51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CF57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412CF2" w:rsidRPr="00E828B3" w14:paraId="771CAB8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2BA9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412CF2" w:rsidRPr="00E828B3" w14:paraId="1DF40E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ED466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B236F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412CF2" w:rsidRPr="00E828B3" w14:paraId="059731D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CC04E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E404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412CF2" w:rsidRPr="00E828B3" w14:paraId="6752277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60A5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B1854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412CF2" w:rsidRPr="00E828B3" w14:paraId="35B0E06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0EF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F91F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412CF2" w:rsidRPr="00E828B3" w14:paraId="5B203D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9D46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AF24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412CF2" w:rsidRPr="00E828B3" w14:paraId="6A38811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E31F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412CF2" w:rsidRPr="00E828B3" w14:paraId="3A63AE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BD451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0F84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412CF2" w:rsidRPr="00E828B3" w14:paraId="6151097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28A50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4F03C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412CF2" w:rsidRPr="00E828B3" w14:paraId="5B23C9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5E79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243E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412CF2" w:rsidRPr="00E828B3" w14:paraId="16A0FCA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FC42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412CF2" w:rsidRPr="00E828B3" w14:paraId="180B10F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0887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46F3F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412CF2" w:rsidRPr="00E828B3" w14:paraId="5CC8722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96CEA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8412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412CF2" w:rsidRPr="00E828B3" w14:paraId="7B1D61D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129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2199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</w:t>
            </w: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ных носителей информации (резервных копий) в течение установленного временного интервала</w:t>
            </w:r>
          </w:p>
        </w:tc>
      </w:tr>
      <w:tr w:rsidR="00412CF2" w:rsidRPr="00E828B3" w14:paraId="606ABFC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3E5FC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ED087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412CF2" w:rsidRPr="00E828B3" w14:paraId="32D60EA3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4B38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412CF2" w:rsidRPr="00E828B3" w14:paraId="648AB3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FC5D0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412CF2" w:rsidRPr="00E828B3" w14:paraId="488CE92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1EF2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57FCE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412CF2" w:rsidRPr="00E828B3" w14:paraId="4C5B218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862F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597E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412CF2" w:rsidRPr="00E828B3" w14:paraId="2AC9BF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31A3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B214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412CF2" w:rsidRPr="00E828B3" w14:paraId="362EE40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C770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412CF2" w:rsidRPr="00E828B3" w14:paraId="3E477BA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EE892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10883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412CF2" w:rsidRPr="00E828B3" w14:paraId="2068C43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5F9A4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AF2D4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412CF2" w:rsidRPr="00E828B3" w14:paraId="3418EAF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3BB65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CEEA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412CF2" w:rsidRPr="00E828B3" w14:paraId="5BF9484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FAA20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27BFE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412CF2" w:rsidRPr="00E828B3" w14:paraId="0B1394F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5672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85E0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412CF2" w:rsidRPr="00E828B3" w14:paraId="7849973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473EB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3D008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412CF2" w:rsidRPr="00E828B3" w14:paraId="434FAFD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3B6CA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ЗИС.17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C421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412CF2" w:rsidRPr="00E828B3" w14:paraId="4D22C6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9DD4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4B485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412CF2" w:rsidRPr="00E828B3" w14:paraId="1A6254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2C1CE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5CDBA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412CF2" w:rsidRPr="00E828B3" w14:paraId="249E30C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53883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412CF2" w:rsidRPr="00E828B3" w14:paraId="394EC9A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C2FB7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36F48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412CF2" w:rsidRPr="00E828B3" w14:paraId="149E109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9A44B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4AD3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412CF2" w:rsidRPr="00E828B3" w14:paraId="0A6D092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EEF40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01395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412CF2" w:rsidRPr="00E828B3" w14:paraId="2E9A51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04467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1097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412CF2" w:rsidRPr="00E828B3" w14:paraId="1F096DB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3463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D9E3E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412CF2" w:rsidRPr="00E828B3" w14:paraId="2434A52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C1BF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CC06F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412CF2" w:rsidRPr="00E828B3" w14:paraId="3B09403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B168A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412CF2" w:rsidRPr="00E828B3" w14:paraId="52CA80E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CF22F0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02718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412CF2" w:rsidRPr="00E828B3" w14:paraId="39DBB6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BF88C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EF7E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412CF2" w:rsidRPr="00E828B3" w14:paraId="5249BB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E6A61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7EB09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412CF2" w:rsidRPr="00E828B3" w14:paraId="5A1C44B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9E35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77DB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01A9141" w14:textId="77777777" w:rsidR="00C64299" w:rsidRDefault="00C64299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4FFCAD" w14:textId="21B6E276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9.2. Требования к системе в целом </w:t>
      </w:r>
    </w:p>
    <w:p w14:paraId="479D7C6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дополненного уточненного адаптированного базового набора мер по обеспечению защиты информации Исполнитель должен создать ПИБ АС и выполнить ряд дополнительных технических мероприятий. </w:t>
      </w:r>
    </w:p>
    <w:p w14:paraId="7FBB1392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 Требования к структуре и функционированию ПИБ АС  </w:t>
      </w:r>
    </w:p>
    <w:p w14:paraId="46EACE29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9.3.1. Требования к составу </w:t>
      </w:r>
    </w:p>
    <w:p w14:paraId="38F3DA2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Для создания ПИБ АС, необходимо дополнить, актуализировать и, при необходимости, создать следующие подсистемы, используя поставляемый Исполнителем Товар (см. раздел 12): </w:t>
      </w:r>
    </w:p>
    <w:p w14:paraId="7E03F8A7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Идентификация и аутентификация (ИАФ);</w:t>
      </w:r>
    </w:p>
    <w:p w14:paraId="7967289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доступом (УПД);</w:t>
      </w:r>
    </w:p>
    <w:p w14:paraId="058DD1F3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Ограничение программной среды (ОПС);</w:t>
      </w:r>
    </w:p>
    <w:p w14:paraId="2CBC12B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машинных носителей информации (ЗНИ);</w:t>
      </w:r>
    </w:p>
    <w:p w14:paraId="4626121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Регистрация событий безопасности (РСБ);</w:t>
      </w:r>
    </w:p>
    <w:p w14:paraId="3D9053D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Антивирусная защита (АВЗ);</w:t>
      </w:r>
    </w:p>
    <w:p w14:paraId="64EC6ED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Обнаружение вторжений (СОВ);</w:t>
      </w:r>
    </w:p>
    <w:p w14:paraId="5D65EA6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Контроль (анализ) защищенности информации (АНЗ);</w:t>
      </w:r>
    </w:p>
    <w:p w14:paraId="29DD59C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целостности информационной системы и информации (ОЦЛ);</w:t>
      </w:r>
    </w:p>
    <w:p w14:paraId="2BC97578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доступности информации (ОДТ);</w:t>
      </w:r>
    </w:p>
    <w:p w14:paraId="6AAC3816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технических средств (ЗТС);</w:t>
      </w:r>
    </w:p>
    <w:p w14:paraId="6BF0865F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информационной (автоматизированной) системы и ее компонентов (ЗИС);</w:t>
      </w:r>
    </w:p>
    <w:p w14:paraId="055FD75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Выявление инцидентов и реагирование на них (ИНЦ);</w:t>
      </w:r>
    </w:p>
    <w:p w14:paraId="48D3C1A6" w14:textId="76CAB0F2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конфигурацией информационной системы и системы защиты персональных данных (УКФ).</w:t>
      </w:r>
    </w:p>
    <w:p w14:paraId="7EB8CFD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9.3.2. Требования к взаимосвязи между подсистемами и компонентами, смежными подсистемами являются:</w:t>
      </w:r>
    </w:p>
    <w:p w14:paraId="130BA4A9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сети передачи данных;</w:t>
      </w:r>
    </w:p>
    <w:p w14:paraId="40B8AA9B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информационные системы.</w:t>
      </w:r>
    </w:p>
    <w:p w14:paraId="0775D387" w14:textId="5C980DA8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Решения по подключению смежных подсистем должны соответствовать действующим государственным стандартам в области связи и телекоммуникаций и требованиями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России и ФСБ России.</w:t>
      </w:r>
    </w:p>
    <w:p w14:paraId="4E40A60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9.3.3. Перспективы развития, модернизации ПИБ АС</w:t>
      </w:r>
    </w:p>
    <w:p w14:paraId="212D448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ПИБ должна позволять, не снижая свою функциональность, поэтапно увеличивать количество защищаемых АРМ, серверов и сетевых устройств.</w:t>
      </w:r>
    </w:p>
    <w:p w14:paraId="60AB233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9.3.4. Требования к режимам функционирования системы</w:t>
      </w:r>
    </w:p>
    <w:p w14:paraId="2073FBC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Компоненты ПИБ АС должны функционировать одновременно с функционированием АС.</w:t>
      </w:r>
    </w:p>
    <w:p w14:paraId="1C8FF87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9.3.5. Требования к надёжности</w:t>
      </w:r>
    </w:p>
    <w:p w14:paraId="5A3B8C8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Элементы ПИБ АС должны удовлетворять условию круглосуточной работы, а также иметь возможность восстановления в случаях сбоев.</w:t>
      </w:r>
    </w:p>
    <w:p w14:paraId="398BD437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 Требования безопасности</w:t>
      </w:r>
    </w:p>
    <w:p w14:paraId="4459176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9.4.1. Требования по обеспечению радиоэлектронной безопасности</w:t>
      </w:r>
    </w:p>
    <w:p w14:paraId="28E3809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Требования по обеспечению радиоэлектронной безопасности при монтаже, наладке, эксплуатации, обслуживании и ремонте технических средств определяются ГОСТ-12.1.006-84 «Система стандартов безопасности труда. Электромагнитные поля радиочастот».</w:t>
      </w:r>
    </w:p>
    <w:p w14:paraId="3AC90735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9.4.2. Требования к эргономике и технической эстетике</w:t>
      </w:r>
    </w:p>
    <w:p w14:paraId="4D265AB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Разрабатываемая ПИБ </w:t>
      </w:r>
      <w:r w:rsidRPr="00A469D5">
        <w:rPr>
          <w:rFonts w:ascii="Times New Roman" w:hAnsi="Times New Roman" w:cs="Times New Roman"/>
          <w:sz w:val="28"/>
          <w:szCs w:val="28"/>
        </w:rPr>
        <w:tab/>
        <w:t>не должна вносить значительных задержек в работу пользователей АРМ и серверов КО «KsaCredit».</w:t>
      </w:r>
    </w:p>
    <w:p w14:paraId="5373E05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Программные и программно-аппаратные СЗИ должны обладать интуитивно-понятным интерфейсом управления.</w:t>
      </w:r>
    </w:p>
    <w:p w14:paraId="1F7382F1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9.5. Требования к эксплуатации, техническому обслуживанию</w:t>
      </w:r>
    </w:p>
    <w:p w14:paraId="2D7316A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Климатические условия в помещениях с размещенными техническими средствами, на которых функционирует ПИБ АС должны соответствовать климатическим условиям, установленным производителями технических средств.</w:t>
      </w:r>
    </w:p>
    <w:p w14:paraId="3338692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Эксплуатация и техническое обслуживание средств защиты информации в составе ПИБ АС должны осуществляться в соответствии с эксплуатационной и технической документацией.</w:t>
      </w:r>
    </w:p>
    <w:p w14:paraId="16277D6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9.6. Требования к патентной чистоте</w:t>
      </w:r>
    </w:p>
    <w:p w14:paraId="04037A2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Программные и аппаратно-программные средства, приобретаемые у сторонних организаций, должны сопровождаться документацией, подтверждающей правомочность этих организаций поставлять данную продукцию и сопровождаться лицензионным соглашением. </w:t>
      </w:r>
    </w:p>
    <w:p w14:paraId="1472869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9.7. Требования по стандартизации </w:t>
      </w:r>
    </w:p>
    <w:p w14:paraId="08A2D0FD" w14:textId="45BAF5BA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Используемые в составе ПИБ средства защиты информации должны иметь соответствующие сертификаты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и/или ФСБ России.</w:t>
      </w:r>
    </w:p>
    <w:p w14:paraId="693823D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качестве схемы сертификации указанных ниже компонент защитных подсистем должна быть выбрана схема серийной сертификации.</w:t>
      </w:r>
    </w:p>
    <w:p w14:paraId="29C4F11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9.8. Требования к организационному обеспечению </w:t>
      </w:r>
    </w:p>
    <w:p w14:paraId="0360BE7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Должна быть разработана проектная и эксплуатационная документация, а также документы, регламентирующие организационные и организационно-технические вопросы информационной безопасности (перечень необходимых документов приведён в разделе 9). </w:t>
      </w:r>
    </w:p>
    <w:p w14:paraId="3178ACC9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9.9. Требования к лингвистическому обеспечению</w:t>
      </w:r>
    </w:p>
    <w:p w14:paraId="7D8959A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Язык взаимодействия пользователей и администраторов с компонентами ПИБ АС должен быть русским.</w:t>
      </w:r>
    </w:p>
    <w:p w14:paraId="19417C8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9.10. Требования к выполнению организационных мероприятий</w:t>
      </w:r>
    </w:p>
    <w:p w14:paraId="0053936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Дополнительные организационные и технические мероприятия должны включать в себя разработку регламентов по обеспечению информационной безопасности.</w:t>
      </w:r>
    </w:p>
    <w:p w14:paraId="21498A2A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9.11. Требования к разработке регламентов по обеспечению информационной безопасности</w:t>
      </w:r>
    </w:p>
    <w:p w14:paraId="1D464142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Регламенты по обеспечению информационной безопасности должны быть разработаны в соответствии со следующими нормативными документами:</w:t>
      </w:r>
    </w:p>
    <w:p w14:paraId="2B42343B" w14:textId="14685292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России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СИСТЕМАХ»;</w:t>
      </w:r>
    </w:p>
    <w:p w14:paraId="25DA7834" w14:textId="54597A40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49422248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149-ФЗ «ОБ ИНФОРМАЦИИ, ИНФОРМАЦИОННЫХ ТЕХНОЛОГИЯХ И О ЗАЩИТЕ ИНФОРМАЦИИ»;</w:t>
      </w:r>
    </w:p>
    <w:p w14:paraId="0929F143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152-ФЗ «О ПЕРСОНАЛЬНЫХ ДАННЫХ»;</w:t>
      </w:r>
    </w:p>
    <w:p w14:paraId="2919474C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данных".</w:t>
      </w:r>
    </w:p>
    <w:p w14:paraId="49D0EBA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регламентов должны учитываться индивидуальные особенности информационных систем Заказчика.</w:t>
      </w:r>
    </w:p>
    <w:p w14:paraId="6EEE271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F402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10.</w:t>
      </w:r>
      <w:r w:rsidRPr="00A469D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b/>
          <w:sz w:val="28"/>
          <w:szCs w:val="28"/>
        </w:rPr>
        <w:t>ТРЕБОВАНИЯ К СОЗДАНИЮ ПИБ АС</w:t>
      </w:r>
    </w:p>
    <w:p w14:paraId="7E2CF0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10.1.</w:t>
      </w:r>
      <w:r w:rsidRPr="00A469D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1D024BC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создании ПИБ АС:</w:t>
      </w:r>
    </w:p>
    <w:p w14:paraId="7C214949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типы субъектов доступа и объектов доступа, являющихся объектами защиты;</w:t>
      </w:r>
    </w:p>
    <w:p w14:paraId="2405605F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методы управления доступом, типы доступа и правила разграничения доступа субъектов доступа к объектам доступа, подлежащие реализации в АС;</w:t>
      </w:r>
    </w:p>
    <w:p w14:paraId="7D4ED0E2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адаптируется базовый набор мер по обеспечению безопасности для АС. При этом допускается исключение из базового набора мер защиты информации тех мер, которые связаны с обеспечением защиты технологий, не используемых Заказчиком;</w:t>
      </w:r>
    </w:p>
    <w:p w14:paraId="53B06D07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уточняется адаптированный набор мер по обеспечению безопасности для АС. При этом, в данный набор мер могут быть включены меры из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изначального списка мер, которые не были отмечены базовыми для третьей категории значимости объекта КИИ (таблица 10.1);</w:t>
      </w:r>
    </w:p>
    <w:p w14:paraId="32539A5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дополняется уточнённый адаптированный набор мерами, определяемыми иными нормативно-правовыми актами или необходимостью усиления данного набора;</w:t>
      </w:r>
    </w:p>
    <w:p w14:paraId="4C5575B7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выбираются меры защиты информации, подлежащие реализации в подсистеме защиты информации АС;</w:t>
      </w:r>
    </w:p>
    <w:p w14:paraId="0591D376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виды и типы средств защиты информации, обеспечивающие реализацию технических мер защиты информации;</w:t>
      </w:r>
    </w:p>
    <w:p w14:paraId="466A1183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определяется структура подсистемы защиты информации АС включая состав (количество) и места размещения её элементов;</w:t>
      </w:r>
    </w:p>
    <w:p w14:paraId="6E2E988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осуществляется выбор средств защиты информации, сертифицированных на соответствие требованиям по безопасности информации, с учётом их стоимости, совместимости с информационными технологиями и техническими средствами, функций безопасности этих средств и особенностей их реализации, а также класса защищенности АС;</w:t>
      </w:r>
    </w:p>
    <w:p w14:paraId="0C9EF10E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определяются параметры настройки программного обеспечения, включая программное обеспечение средств защиты информации, обеспечивающие реализацию мер защиты информации, а также устранение возможных уязвимостей АС, приводящих к возникновению угроз безопасности информации; </w:t>
      </w:r>
    </w:p>
    <w:p w14:paraId="48925092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меры защиты информации при информационном взаимодействии с иными информационными системами и информационно-телекоммуникационными сетями.</w:t>
      </w:r>
    </w:p>
    <w:p w14:paraId="3029CA8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4A8C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11.Требования к документированию</w:t>
      </w:r>
    </w:p>
    <w:p w14:paraId="1CEBE315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11.1. Требования к документированию работ (действий) по разработке проектной и эксплуатационной документации на ПИБ АС.</w:t>
      </w:r>
    </w:p>
    <w:p w14:paraId="207368F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Результаты проектирования ПИБ АС должны быть отражены в проектной документации (техническом проекте) на АС, разрабатываемой с учетом ГОСТ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34.201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(далее – ГОСТ 34.201). Эксплуатационная документация на ПИБ АС должна быть разработана с учетом ГОСТ 34.601, ГОСТ 34.201 и ГОСТ Р 51624 и должна, в том числе, содержать описание:</w:t>
      </w:r>
    </w:p>
    <w:p w14:paraId="068F428C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структуры ПИБ АС;</w:t>
      </w:r>
    </w:p>
    <w:p w14:paraId="40F8B4C6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состава, мест установки, параметров и порядка настройки средств защиты информации, программного обеспечения и технических средств;</w:t>
      </w:r>
    </w:p>
    <w:p w14:paraId="203BE773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правил эксплуатации ПИБ АС.</w:t>
      </w:r>
    </w:p>
    <w:p w14:paraId="352AE04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11.2 Требования к документированию работ (действий) по разработке внутренней документации, регламентирующей вопросы обеспечения информационной безопасности</w:t>
      </w:r>
    </w:p>
    <w:p w14:paraId="48E9B6F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внутренней документации, регламентирующей вопросы обеспечения информационной безопасности, должны быть выполнены работы (действия) по:</w:t>
      </w:r>
    </w:p>
    <w:p w14:paraId="491BFE29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ИАФ.</w:t>
      </w:r>
    </w:p>
    <w:p w14:paraId="51F2571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УПД.</w:t>
      </w:r>
    </w:p>
    <w:p w14:paraId="5903F248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ОПС.</w:t>
      </w:r>
    </w:p>
    <w:p w14:paraId="0772A7B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ЗНИ.</w:t>
      </w:r>
    </w:p>
    <w:p w14:paraId="549834F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РБС.</w:t>
      </w:r>
    </w:p>
    <w:p w14:paraId="6E342D9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АВЗ.</w:t>
      </w:r>
    </w:p>
    <w:p w14:paraId="62C5AF21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СОВ.</w:t>
      </w:r>
    </w:p>
    <w:p w14:paraId="54DC648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АНЗ.</w:t>
      </w:r>
    </w:p>
    <w:p w14:paraId="260932DC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ОЦЛ.</w:t>
      </w:r>
    </w:p>
    <w:p w14:paraId="49F0F504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ОДТ.</w:t>
      </w:r>
    </w:p>
    <w:p w14:paraId="3BF4852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ЗТС.</w:t>
      </w:r>
    </w:p>
    <w:p w14:paraId="2EA4F5D2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ЗИС.</w:t>
      </w:r>
    </w:p>
    <w:p w14:paraId="09774C2A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ИНЦ.</w:t>
      </w:r>
    </w:p>
    <w:p w14:paraId="40B196B0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УКФ.</w:t>
      </w:r>
    </w:p>
    <w:p w14:paraId="77EEB6F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Результатом данных работ должны стать проекты соответствующих нормативных документов.</w:t>
      </w:r>
    </w:p>
    <w:p w14:paraId="1BED806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63366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11.3 Требования к документированию работ (действий) по аттестации ПИБ АС</w:t>
      </w:r>
    </w:p>
    <w:p w14:paraId="562AB82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результате выполнения работ по аттестации ПИБ АС должны быть разработаны следующие документы:</w:t>
      </w:r>
    </w:p>
    <w:p w14:paraId="3FE691F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технический паспорт;</w:t>
      </w:r>
    </w:p>
    <w:p w14:paraId="0B7BB7E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программа и методики аттестационных испытаний;</w:t>
      </w:r>
    </w:p>
    <w:p w14:paraId="244C0C90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протокол аттестационных испытаний;</w:t>
      </w:r>
    </w:p>
    <w:p w14:paraId="148AC7C2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заключение по результатам аттестации;</w:t>
      </w:r>
    </w:p>
    <w:p w14:paraId="2B1E0FFB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аттестат соответствия.</w:t>
      </w:r>
    </w:p>
    <w:p w14:paraId="3B57D3F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Указанные документы должны быть разработаны с учётом требования ГОСТ РО 0043-003-2012 Защита информации. Аттестация объектов информатизации.</w:t>
      </w:r>
    </w:p>
    <w:p w14:paraId="336C9FE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3E1DB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 xml:space="preserve">12.СОСТАВ И СОДЕРЖАНИЕ ПОСТАВЛЯЕМОГО ТОВАРА </w:t>
      </w:r>
    </w:p>
    <w:p w14:paraId="0F07621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12.1. Товар, поставляемый для дополнения и актуализации существующей системы защиты информации для построения ПИБ АС:</w:t>
      </w:r>
    </w:p>
    <w:p w14:paraId="294B711D" w14:textId="2B5EC1BA" w:rsidR="00412CF2" w:rsidRPr="00A469D5" w:rsidRDefault="00412CF2" w:rsidP="009A33D5">
      <w:pPr>
        <w:spacing w:after="0" w:line="36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Таблица 12.1 – </w:t>
      </w:r>
      <w:r w:rsidR="00D961BB" w:rsidRPr="00A469D5">
        <w:rPr>
          <w:rFonts w:ascii="Times New Roman" w:hAnsi="Times New Roman" w:cs="Times New Roman"/>
          <w:sz w:val="28"/>
          <w:szCs w:val="28"/>
        </w:rPr>
        <w:t>Товар,</w:t>
      </w:r>
      <w:r w:rsidRPr="00A469D5">
        <w:rPr>
          <w:rFonts w:ascii="Times New Roman" w:hAnsi="Times New Roman" w:cs="Times New Roman"/>
          <w:sz w:val="28"/>
          <w:szCs w:val="28"/>
        </w:rPr>
        <w:t xml:space="preserve"> поставляемый для дополнения и актуализации существующей СЗИ.</w:t>
      </w:r>
    </w:p>
    <w:tbl>
      <w:tblPr>
        <w:tblStyle w:val="TableGrid"/>
        <w:tblW w:w="5000" w:type="pct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30"/>
        <w:gridCol w:w="6125"/>
        <w:gridCol w:w="1219"/>
        <w:gridCol w:w="1254"/>
      </w:tblGrid>
      <w:tr w:rsidR="00412CF2" w:rsidRPr="00333139" w14:paraId="155455D6" w14:textId="77777777" w:rsidTr="00333139">
        <w:trPr>
          <w:trHeight w:val="45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2E1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156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28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Ед. изм.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9A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Кол-во</w:t>
            </w:r>
          </w:p>
        </w:tc>
      </w:tr>
      <w:tr w:rsidR="00412CF2" w:rsidRPr="00333139" w14:paraId="10A4D4F2" w14:textId="77777777" w:rsidTr="00333139">
        <w:trPr>
          <w:trHeight w:val="28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DC17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ПИБ АС</w:t>
            </w:r>
          </w:p>
        </w:tc>
      </w:tr>
      <w:tr w:rsidR="00412CF2" w:rsidRPr="00333139" w14:paraId="112EFB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F70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48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Positive Technologies Application Firewall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4B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18C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014120EF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80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2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C0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KPI MONITOR Basic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7B1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2E0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85A527F" w14:textId="77777777" w:rsidTr="00333139">
        <w:trPr>
          <w:trHeight w:val="288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287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3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686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EYECONT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1BA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0A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AF7BA00" w14:textId="77777777" w:rsidTr="00333139">
        <w:trPr>
          <w:trHeight w:val="269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E1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4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E3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Kaspersky Plus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BB1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AD3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  <w:tr w:rsidR="00412CF2" w:rsidRPr="00333139" w14:paraId="22AA8E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7EB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482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Security Vision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304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01B6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32FB20BD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75B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6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AF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SafeInspect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EF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1E7A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21A45847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B425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7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E633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Windows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2EE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683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</w:tbl>
    <w:p w14:paraId="38DB56EA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A20E8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12.2 Описание Positive Technologies Application Firewall</w:t>
      </w:r>
    </w:p>
    <w:p w14:paraId="5114EBE6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Специализированное программное или аппаратное решение, предназначенное для защиты веб-приложений от различных видов кибератак и обеспечения безопасности данных.</w:t>
      </w:r>
    </w:p>
    <w:p w14:paraId="2AAAA4A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F7A98AA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OWASP Top 10: PT AF обеспечивает защиту от наиболее распространённых угроз веб-приложений, перечисленных в OWASP Top 10, включая SQL-инъекции, XSS-атаки, CSRF и другие;</w:t>
      </w:r>
    </w:p>
    <w:p w14:paraId="4D3FAC57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трафика: Система анализирует весь входящий и исходящий трафик в режиме реального времени, выявляя и блокируя подозрительные запросы;</w:t>
      </w:r>
    </w:p>
    <w:p w14:paraId="1EC365BE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доступности: PT AF помогает обеспечивать доступность веб-приложений, предотвращая атаки типа DDoS;</w:t>
      </w:r>
    </w:p>
    <w:p w14:paraId="4922DF39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данных: Решение проверяет входные данные на наличие вредоносного кода, предотвращая эксплуатацию уязвимостей.</w:t>
      </w:r>
    </w:p>
    <w:p w14:paraId="59DA663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2A8F79DC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защиты веб-приложений: Основной компонент, который отвечает за анализ и фильтрацию трафика, а также за выявление и блокировку атак;</w:t>
      </w:r>
    </w:p>
    <w:p w14:paraId="5D42C3C3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Логирование и отчетность: PT AF ведет детальный журнал всех событий безопасности, что позволяет отслеживать инциденты и анализировать их причины;</w:t>
      </w:r>
    </w:p>
    <w:p w14:paraId="655CFDAF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SIEM: Система может интегрироваться с решениями для управления событиями и информацией безопасности (SIEM) для более эффективного мониторинга и реагирования на инциденты;</w:t>
      </w:r>
    </w:p>
    <w:p w14:paraId="3B7D075A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различных протоколов: PT AF поддерживает множество веб-протоколов и технологий, таких как HTTP, HTTPS, SOAP, REST и другие.</w:t>
      </w:r>
    </w:p>
    <w:p w14:paraId="468FED4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A8F6224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производительность: PT AF разработан для работы в условиях высоких нагрузок, обеспечивая минимальную задержку и высокую скорость обработки трафика;</w:t>
      </w:r>
    </w:p>
    <w:p w14:paraId="09B4B747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Легкость в развертывании: Решение легко интегрируется в существующую инфраструктуру, не требуя значительных изменений;</w:t>
      </w:r>
    </w:p>
    <w:p w14:paraId="74E7DB1B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поддержка: Positive Technologies регулярно выпускает обновления для PT AF, включая новые правила и сигнатуры для защиты от новых видов атак;</w:t>
      </w:r>
    </w:p>
    <w:p w14:paraId="7DCDA379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пользовательских правил: Администраторы могут создавать и настраивать собственные правила безопасности для удовлетворения специфических требований организации.</w:t>
      </w:r>
    </w:p>
    <w:p w14:paraId="55056526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12.3 Описание KPI MONITOR Basic</w:t>
      </w:r>
    </w:p>
    <w:p w14:paraId="4B0636F3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решение для мониторинга ключевых показателей эффективности (KPI) бизнеса, предназначенное для упрощения процесса сбора, анализа и визуализации данных.</w:t>
      </w:r>
    </w:p>
    <w:p w14:paraId="4876E171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3B38BBD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Сбор данных: Автоматический сбор данных из различных источников, включая базы данных, CRM-системы, ERP-системы и другие бизнес-приложения;</w:t>
      </w:r>
    </w:p>
    <w:p w14:paraId="6A048369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показателей: Возможность проведения анализа KPI в режиме реального времени для оценки текущего состояния бизнеса;</w:t>
      </w:r>
    </w:p>
    <w:p w14:paraId="4A32445C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Визуализация данных: Интерактивные дашборды и отчеты, которые позволяют пользователям визуализировать данные в удобном для восприятия виде;</w:t>
      </w:r>
    </w:p>
    <w:p w14:paraId="057568DF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Настройка KPI: Пользователи могут настраивать и добавлять свои собственные ключевые показатели эффективности в зависимости от потребностей бизнеса;</w:t>
      </w:r>
    </w:p>
    <w:p w14:paraId="0444F8A0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о достижении определенных KPI или при возникновении отклонений от плановых показателей.</w:t>
      </w:r>
    </w:p>
    <w:p w14:paraId="6502BBC8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Архитектура и компоненты:</w:t>
      </w:r>
    </w:p>
    <w:p w14:paraId="34EAE78F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сбора данных: отвечает за интеграцию с различными источниками данных и их автоматический сбор;</w:t>
      </w:r>
    </w:p>
    <w:p w14:paraId="32C2351D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обеспечивает обработку и анализ собранных данных для вычисления KPI;</w:t>
      </w:r>
    </w:p>
    <w:p w14:paraId="5F7C5D0B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визуализации: предоставляет инструменты для создания дашбордов и отчетов, а также для интерактивного анализа данных;</w:t>
      </w:r>
    </w:p>
    <w:p w14:paraId="410A6216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позволяет настраивать и отправлять уведомления пользователям при достижении критических значений KPI.</w:t>
      </w:r>
    </w:p>
    <w:p w14:paraId="4661BFD5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F09200D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Простота использования: интуитивно понятный интерфейс позволяет быстро освоить работу с системой даже неподготовленным пользователям;</w:t>
      </w:r>
    </w:p>
    <w:p w14:paraId="0C1F6C1E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легко адаптируется под нужды различных организаций и может масштабироваться по мере роста бизнеса;</w:t>
      </w:r>
    </w:p>
    <w:p w14:paraId="2C8362C3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Снижение затрат: Автоматизация процесса мониторинга KPI позволяет сократить затраты на ручной сбор и анализ данных;</w:t>
      </w:r>
    </w:p>
    <w:p w14:paraId="47709E98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Улучшение принятия решений: Регулярный мониторинг и анализ ключевых показателей эффективности помогают руководству принимать обоснованные решения.</w:t>
      </w:r>
    </w:p>
    <w:p w14:paraId="4680F93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12.4 Описание EYECONT</w:t>
      </w:r>
    </w:p>
    <w:p w14:paraId="5CE4D40B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Система для мониторинга и анализа видеонаблюдения, предназначенная для повышения уровня безопасности и улучшения управления объектами.</w:t>
      </w:r>
    </w:p>
    <w:p w14:paraId="51A7A4E1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76D2162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Видеомониторинг в реальном времени: EYECONT обеспечивает возможность просмотра видеопотоков с камер наблюдения в реальном времени, что позволяет оперативно реагировать на происходящие события;</w:t>
      </w:r>
    </w:p>
    <w:p w14:paraId="20A677AF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Анализ видеоданных: Система использует алгоритмы искусственного интеллекта для анализа видеоданных, выявления подозрительных действий и распознавания лиц;</w:t>
      </w:r>
    </w:p>
    <w:p w14:paraId="2D4A283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Архивирование видео: Запись видеопотоков и их хранение в архиве для последующего анализа и расследования инцидентов;</w:t>
      </w:r>
    </w:p>
    <w:p w14:paraId="10F50C2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и оповещения о выявленных инцидентах, отправляемые через SMS, email или другие средства связи;</w:t>
      </w:r>
    </w:p>
    <w:p w14:paraId="23DF6BDD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 Возможность интеграции с системами управления доступом, пожарной сигнализацией и другими системами безопасности.</w:t>
      </w:r>
    </w:p>
    <w:p w14:paraId="4D39CC4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3D5DEB0D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видео захвата: отвечает за получение видеопотоков с камер наблюдения и их передачу в систему;</w:t>
      </w:r>
    </w:p>
    <w:p w14:paraId="570F1ADA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использует алгоритмы машинного обучения и компьютерного зрения для анализа видеоданных и выявления аномалий;</w:t>
      </w:r>
    </w:p>
    <w:p w14:paraId="798601D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архивирования: обеспечивает запись и хранение видеопотоков, а также быстрый доступ к архивным записям;</w:t>
      </w:r>
    </w:p>
    <w:p w14:paraId="2500D35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настраиваемая система уведомлений, позволяющая оперативно информировать ответственных лиц о выявленных инцидентах;</w:t>
      </w:r>
    </w:p>
    <w:p w14:paraId="2BB7B859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Интерфейс пользователя: интуитивно понятный интерфейс для управления системой, просмотра видеопотоков, анализа данных и настройки параметров.</w:t>
      </w:r>
    </w:p>
    <w:p w14:paraId="4227F3B7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1BD94F7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безопасности: EYECONT позволяет оперативно выявлять и реагировать на подозрительные действия, предотвращая возможные угрозы;</w:t>
      </w:r>
    </w:p>
    <w:p w14:paraId="31088745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Интеллектуальный анализ: Использование передовых алгоритмов искусственного интеллекта для анализа видеоданных обеспечивает высокую точность выявления инцидентов;</w:t>
      </w:r>
    </w:p>
    <w:p w14:paraId="2F3A3D1B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может быть адаптирована под нужды различных организаций и легко масштабируется по мере роста количества камер и объема данных;</w:t>
      </w:r>
    </w:p>
    <w:p w14:paraId="684702E2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Экономия времени и ресурсов: Автоматизация процесса мониторинга и анализа видеоданных снижает нагрузку на сотрудников службы безопасности и повышает их эффективность.</w:t>
      </w:r>
    </w:p>
    <w:p w14:paraId="07467C4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12.5 Описание Kaspersky Plus</w:t>
      </w:r>
    </w:p>
    <w:p w14:paraId="361AAA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Многофункциональное антивирусное программное обеспечение, предоставляемое компанией Kaspersky Lab, которое обеспечивает комплексную защиту от различных видов киберугроз. Основные функции и возможности Kaspersky Plus включают:</w:t>
      </w:r>
    </w:p>
    <w:p w14:paraId="38070502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защита:</w:t>
      </w:r>
    </w:p>
    <w:p w14:paraId="0057F94B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и удаление вирусов, троянов, червей, шпионского ПО, рекламного ПО и других типов вредоносных программ;</w:t>
      </w:r>
    </w:p>
    <w:p w14:paraId="4A03645F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Проактивная защита от новых и неизвестных угроз с использованием облачных технологий и машинного обучения.</w:t>
      </w:r>
    </w:p>
    <w:p w14:paraId="7F2E7E34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интернет-серфинга:</w:t>
      </w:r>
    </w:p>
    <w:p w14:paraId="35AC9C7C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Блокировка опасных веб-сайтов, фишинговых ссылок и загрузок вредоносного ПО;</w:t>
      </w:r>
    </w:p>
    <w:p w14:paraId="39FC03CF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Расширения для браузеров, которые предупреждают о подозрительных сайтах и блокируют их.</w:t>
      </w:r>
    </w:p>
    <w:p w14:paraId="142AEFF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электронной почты:</w:t>
      </w:r>
    </w:p>
    <w:p w14:paraId="4E44D9C8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входящих и исходящих сообщений на наличие вредоносных вложений и фишинговых ссылок;</w:t>
      </w:r>
    </w:p>
    <w:p w14:paraId="42639B95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Фильтрация спама и нежелательных писем.</w:t>
      </w:r>
    </w:p>
    <w:p w14:paraId="025479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конфиденциальных данных:</w:t>
      </w:r>
    </w:p>
    <w:p w14:paraId="7DC10DF8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Функции шифрования данных и файлов для предотвращения несанкционированного доступа;</w:t>
      </w:r>
    </w:p>
    <w:p w14:paraId="7241E8D7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Инструменты для безопасного удаления данных без возможности их восстановления.</w:t>
      </w:r>
    </w:p>
    <w:p w14:paraId="658E79B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Менеджер паролей:</w:t>
      </w:r>
    </w:p>
    <w:p w14:paraId="25E033D4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Хранение паролей в зашифрованном виде и автоматическое заполнение форм авторизации;</w:t>
      </w:r>
    </w:p>
    <w:p w14:paraId="25311765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Генерация надежных паролей для различных учетных записей.</w:t>
      </w:r>
    </w:p>
    <w:p w14:paraId="675B4D3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Сетевой экран (файрволл):</w:t>
      </w:r>
    </w:p>
    <w:p w14:paraId="34AD1FED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компьютера от сетевых атак и несанкционированного доступа;</w:t>
      </w:r>
    </w:p>
    <w:p w14:paraId="70AE99BE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сетевого трафика и предотвращение утечек данных.</w:t>
      </w:r>
    </w:p>
    <w:p w14:paraId="754CF54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 Kaspersky Plus:</w:t>
      </w:r>
    </w:p>
    <w:p w14:paraId="246A63F6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обнаружения и блокировки угроз;</w:t>
      </w:r>
    </w:p>
    <w:p w14:paraId="20898CA4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Интуитивно понятный интерфейс и простота в использовании;</w:t>
      </w:r>
    </w:p>
    <w:p w14:paraId="57E532DD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Низкая нагрузка на систему, что обеспечивает быструю работу компьютера;</w:t>
      </w:r>
    </w:p>
    <w:p w14:paraId="0EDD2679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облачными сервисами для повышения эффективности защиты.</w:t>
      </w:r>
    </w:p>
    <w:p w14:paraId="5519AFC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12.6 Описание Security Vision</w:t>
      </w:r>
    </w:p>
    <w:p w14:paraId="5579F5A8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Интегрированное программное обеспечение для мониторинга безопасности информационных систем и реагирования на угрозы в реальном времени. Основной целью Security Vision является обеспечение комплексной защиты информации и выявление потенциальных угроз для оперативного реагирования на них.</w:t>
      </w:r>
    </w:p>
    <w:p w14:paraId="42D211F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безопасности:</w:t>
      </w:r>
    </w:p>
    <w:p w14:paraId="1008D63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осуществляет непрерывный мониторинг событий и активности в информационной системе, включая аудит доступа, сетевой трафик, аномалии в поведении пользователей и уязвимости системы;</w:t>
      </w:r>
    </w:p>
    <w:p w14:paraId="3E0F353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Он анализирует данные с различных источников, таких как журналы событий, сенсоры безопасности, системы регистрации и аутентификации, чтобы выявлять подозрительные действия.</w:t>
      </w:r>
    </w:p>
    <w:p w14:paraId="6878E654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угроз:</w:t>
      </w:r>
    </w:p>
    <w:p w14:paraId="0129079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использует алгоритмы машинного обучения и анализ поведения для выявления потенциально опасных сценариев и атак;</w:t>
      </w:r>
    </w:p>
    <w:p w14:paraId="1E144A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определяет аномальное поведение пользователей, необычные сетевые пакеты, попытки несанкционированного доступа и другие угрозы.</w:t>
      </w:r>
    </w:p>
    <w:p w14:paraId="0B8751E1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уязвимостей:</w:t>
      </w:r>
    </w:p>
    <w:p w14:paraId="615CDFD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Security Vision проводит сканирование и анализ уязвимостей в системе, включая открытые порты, необходимость обновлений программного обеспечения и конфигурационные ошибки;</w:t>
      </w:r>
    </w:p>
    <w:p w14:paraId="43034A87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предоставляет отчеты о выявленных уязвимостях и рекомендации по их устранению для повышения уровня безопасности.</w:t>
      </w:r>
    </w:p>
    <w:p w14:paraId="704EE6EB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1DFDC95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автоматически классифицирует инциденты по уровню угрозы и приоритету;</w:t>
      </w:r>
    </w:p>
    <w:p w14:paraId="2C2123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предоставляет средства для быстрого реагирования на инциденты, включая оповещения, блокировку атак, изоляцию уязвимых устройств и сбор доказательств для дальнейшего анализа.</w:t>
      </w:r>
    </w:p>
    <w:p w14:paraId="0E62C2B3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7DD4037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обеспечивает аналитику событий и трендов в области безопасности для выявления улучшений и оптимизации стратегий защиты;</w:t>
      </w:r>
    </w:p>
    <w:p w14:paraId="4997215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генерирует отчеты о происшествиях, статистику по уровню безопасности, эффективность действий по обнаружению и реагированию на угрозы.</w:t>
      </w:r>
    </w:p>
    <w:p w14:paraId="45E7BAEF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</w:t>
      </w:r>
    </w:p>
    <w:p w14:paraId="65FB4DF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Security Vision интегрируется с другими системами безопасности, такими как межсетевые экраны, системы обнаружения вторжений (IDS), </w:t>
      </w:r>
      <w:r w:rsidRPr="007F2E89">
        <w:rPr>
          <w:rFonts w:ascii="Times New Roman" w:hAnsi="Times New Roman" w:cs="Times New Roman"/>
          <w:sz w:val="28"/>
          <w:szCs w:val="28"/>
        </w:rPr>
        <w:lastRenderedPageBreak/>
        <w:t>антивирусные программы и системы аутентификации для обеспечения единой и централизованной защиты.</w:t>
      </w:r>
    </w:p>
    <w:p w14:paraId="74EB198D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12.7 Описание SafeInspect</w:t>
      </w:r>
    </w:p>
    <w:p w14:paraId="7A403D1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для обеспечения безопасности и контроля качества в производственных и промышленных предприятиях. Оно предоставляет инструменты для мониторинга производственных процессов, выявления потенциальных угроз и опасностей, а также обеспечения соответствия стандартам безопасности и качества. Вот основные аспекты и возможности SafeInspect:</w:t>
      </w:r>
    </w:p>
    <w:p w14:paraId="0D7499C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Инспекции и аудиты:</w:t>
      </w:r>
    </w:p>
    <w:p w14:paraId="4D3B91C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регулярных инспекций и аудитов по стандартам безопасности, качества и соблюдению нормативных требований;</w:t>
      </w:r>
    </w:p>
    <w:p w14:paraId="015535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состояния оборудования, рабочих мест, производственных процессов и соблюдения правил безопасности труда.</w:t>
      </w:r>
    </w:p>
    <w:p w14:paraId="3CF7E2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0CB5F6C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рисков и угроз для работников, оборудования и окружающей среды;</w:t>
      </w:r>
    </w:p>
    <w:p w14:paraId="3BC9997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и реализация мер по снижению рисков и предотвращению несчастных случаев.</w:t>
      </w:r>
    </w:p>
    <w:p w14:paraId="401174A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и анализ данных:</w:t>
      </w:r>
    </w:p>
    <w:p w14:paraId="78B3E46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Отслеживание параметров производственных процессов и сбор данных о безопасности и качестве;</w:t>
      </w:r>
    </w:p>
    <w:p w14:paraId="284E522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данных для выявления тенденций, аномалий и потенциальных проблем.</w:t>
      </w:r>
    </w:p>
    <w:p w14:paraId="5FB2A3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6334265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Регистрация и анализ инцидентов, несчастных случаев и аварий;</w:t>
      </w:r>
    </w:p>
    <w:p w14:paraId="62B0F6E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планов действий по реагированию на инциденты и минимизации последствий.</w:t>
      </w:r>
    </w:p>
    <w:p w14:paraId="39FE024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Обучение и тренинги:</w:t>
      </w:r>
    </w:p>
    <w:p w14:paraId="60AADE6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обучающих мероприятий и тренингов по безопасности, качеству и соблюдению стандартов;</w:t>
      </w:r>
    </w:p>
    <w:p w14:paraId="1623B3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Подготовка сотрудников к правильной работе с оборудованием и соблюдению процедур безопасности.</w:t>
      </w:r>
    </w:p>
    <w:p w14:paraId="72AF95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Соблюдение нормативов и стандартов:</w:t>
      </w:r>
    </w:p>
    <w:p w14:paraId="550E451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Обеспечение соответствия производственных процессов и условий труда требованиям законодательства, стандартов качества и безопасности;</w:t>
      </w:r>
    </w:p>
    <w:p w14:paraId="1F7E9B7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сертификации и аттестации предприятия по стандартам безопасности и качества.</w:t>
      </w:r>
    </w:p>
    <w:p w14:paraId="571FF375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SafeInspect является важным инструментом для обеспечения безопасности труда, контроля качества и соблюдения стандартов в производственных и промышленных компаниях. Он помогает снижать риски производственных аварий, повышать эффективность работы и обеспечивать безопасные условия труда для сотрудников.</w:t>
      </w:r>
    </w:p>
    <w:p w14:paraId="7FCBC2AA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12.8 Возможности операционной системы Windows</w:t>
      </w:r>
    </w:p>
    <w:p w14:paraId="46F7FAEE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Операционная система Windows предоставляет ряд возможностей в области информационной безопасности (ИБ), включая:</w:t>
      </w:r>
    </w:p>
    <w:p w14:paraId="32624A0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Аутентификация и управление учетными записями:</w:t>
      </w:r>
    </w:p>
    <w:p w14:paraId="7FBE2E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Возможности управления пользователями и группами для ограничения доступа к ресурсам;</w:t>
      </w:r>
    </w:p>
    <w:p w14:paraId="3E18524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Встроенные средства аутентификации, такие как пароли, PIN-коды, Windows Hello для биометрической аутентификации.</w:t>
      </w:r>
    </w:p>
    <w:p w14:paraId="4618B1ED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3C6EA5EB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BitLocker для шифрования дисков и защиты данных на уровне диска;</w:t>
      </w:r>
    </w:p>
    <w:p w14:paraId="7BDFF385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Encrypting File System (EFS) для шифрования отдельных файлов и папок.</w:t>
      </w:r>
    </w:p>
    <w:p w14:paraId="598E3CA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Брандмауэр и сетевая безопасность:</w:t>
      </w:r>
    </w:p>
    <w:p w14:paraId="40B914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Встроенный брандмауэр для контроля сетевого трафика и защиты от внешних атак;</w:t>
      </w:r>
    </w:p>
    <w:p w14:paraId="1761CEA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сетевыми подключениями и настройки безопасности Wi-Fi.</w:t>
      </w:r>
    </w:p>
    <w:p w14:paraId="1E41C63F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 и защита от вредоносного ПО:</w:t>
      </w:r>
    </w:p>
    <w:p w14:paraId="5C5F0FB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Windows Security (ранее Windows Defender) для защиты от вирусов, троянов, шпионского ПО и других угроз;</w:t>
      </w:r>
    </w:p>
    <w:p w14:paraId="45EBAFF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нежелательных приложений и приложений с подозрительным поведением.</w:t>
      </w:r>
    </w:p>
    <w:p w14:paraId="7DCB26B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патчи безопасности:</w:t>
      </w:r>
    </w:p>
    <w:p w14:paraId="7599485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Автоматические обновления операционной системы и приложений для исправления уязвимостей безопасности;</w:t>
      </w:r>
    </w:p>
    <w:p w14:paraId="147845C9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Центр обновлений для управления обновлениями и патчами безопасности.</w:t>
      </w:r>
    </w:p>
    <w:p w14:paraId="6519FB5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политиками безопасности:</w:t>
      </w:r>
    </w:p>
    <w:p w14:paraId="30CB67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Групповые политики (Group Policies) для установки требований безопасности на уровне домена или компьютера;</w:t>
      </w:r>
    </w:p>
    <w:p w14:paraId="065577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Application Control (ранее Device Guard) для управления запуском приложений и предотвращения выполнения вредоносного ПО.</w:t>
      </w:r>
    </w:p>
    <w:p w14:paraId="17E2859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Аудит безопасности и мониторинг событий:</w:t>
      </w:r>
    </w:p>
    <w:p w14:paraId="682AA9B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аудита безопасности для записи событий аудита и мониторинга действий пользователей и системы;</w:t>
      </w:r>
    </w:p>
    <w:p w14:paraId="47BDF1D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Event Viewer для анализа журналов событий и выявления потенциальных угроз.</w:t>
      </w:r>
    </w:p>
    <w:p w14:paraId="5CF320C4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Виртуализация и изоляция приложений:</w:t>
      </w:r>
    </w:p>
    <w:p w14:paraId="763CD55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Sandbox для запуска приложений в изолированной среде и безопасного тестирования;</w:t>
      </w:r>
    </w:p>
    <w:p w14:paraId="16D2730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Virtual Desktop для виртуализации рабочих окружений и обеспечения безопасного доступа к приложениям.</w:t>
      </w:r>
    </w:p>
    <w:p w14:paraId="2292D0F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и мониторинга устройств:</w:t>
      </w:r>
    </w:p>
    <w:p w14:paraId="756696B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Microsoft Intune для управления мобильными устройствами и применения политик безопасности;</w:t>
      </w:r>
    </w:p>
    <w:p w14:paraId="7BB21E7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Advanced Threat Protection (ATP) для обнаружения и реагирования на угрозы на уровне конечных точек.</w:t>
      </w:r>
    </w:p>
    <w:p w14:paraId="7B487A0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Эти возможности позволяют организациям и пользователям Windows обеспечивать высокий уровень информационной безопасности и защиты от различных угроз.</w:t>
      </w:r>
    </w:p>
    <w:p w14:paraId="7517D3D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ПРОВЕРИЛ:</w:t>
      </w:r>
    </w:p>
    <w:p w14:paraId="2E25EA5E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службы информационной безопасности и системного администрирования</w:t>
      </w:r>
    </w:p>
    <w:p w14:paraId="7F9CF249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307C81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C92FD3C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отдела информационной безопасности</w:t>
      </w:r>
    </w:p>
    <w:p w14:paraId="4E099E18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045F8CC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12CF2" w:rsidSect="00D961B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37B6857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1CB53" w14:textId="77777777" w:rsidR="006203DC" w:rsidRDefault="006203DC" w:rsidP="00252FEF">
      <w:pPr>
        <w:spacing w:after="0" w:line="240" w:lineRule="auto"/>
      </w:pPr>
      <w:r>
        <w:separator/>
      </w:r>
    </w:p>
  </w:endnote>
  <w:endnote w:type="continuationSeparator" w:id="0">
    <w:p w14:paraId="3EDE9F87" w14:textId="77777777" w:rsidR="006203DC" w:rsidRDefault="006203DC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20000887" w:usb1="00000000" w:usb2="00000021" w:usb3="00000000" w:csb0="000001BF" w:csb1="00000000"/>
  </w:font>
  <w:font w:name="SimSun">
    <w:altName w:val="?§Ю-?§Ю?§Ф?§Ю??§ЮЎм§Ч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F2F3C" w14:textId="77777777" w:rsidR="006203DC" w:rsidRDefault="006203DC" w:rsidP="00252FEF">
      <w:pPr>
        <w:spacing w:after="0" w:line="240" w:lineRule="auto"/>
      </w:pPr>
      <w:r>
        <w:separator/>
      </w:r>
    </w:p>
  </w:footnote>
  <w:footnote w:type="continuationSeparator" w:id="0">
    <w:p w14:paraId="335F5383" w14:textId="77777777" w:rsidR="006203DC" w:rsidRDefault="006203DC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146"/>
    <w:multiLevelType w:val="multilevel"/>
    <w:tmpl w:val="02F07146"/>
    <w:lvl w:ilvl="0">
      <w:start w:val="1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DD6DB8"/>
    <w:multiLevelType w:val="hybridMultilevel"/>
    <w:tmpl w:val="E9F4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9644C"/>
    <w:multiLevelType w:val="hybridMultilevel"/>
    <w:tmpl w:val="1E6A2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6224869"/>
    <w:multiLevelType w:val="hybridMultilevel"/>
    <w:tmpl w:val="37A40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201215"/>
    <w:multiLevelType w:val="hybridMultilevel"/>
    <w:tmpl w:val="D9BA4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55851E8"/>
    <w:multiLevelType w:val="hybridMultilevel"/>
    <w:tmpl w:val="3B8E0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65F51B1"/>
    <w:multiLevelType w:val="multilevel"/>
    <w:tmpl w:val="265F51B1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287259B3"/>
    <w:multiLevelType w:val="hybridMultilevel"/>
    <w:tmpl w:val="CD38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7F5E97"/>
    <w:multiLevelType w:val="multilevel"/>
    <w:tmpl w:val="2B7F5E97"/>
    <w:lvl w:ilvl="0">
      <w:start w:val="9"/>
      <w:numFmt w:val="decimal"/>
      <w:lvlText w:val="%1.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0"/>
      <w:numFmt w:val="decimal"/>
      <w:lvlText w:val="%1.%2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2C3C3E0B"/>
    <w:multiLevelType w:val="hybridMultilevel"/>
    <w:tmpl w:val="F14239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CEA4F25"/>
    <w:multiLevelType w:val="hybridMultilevel"/>
    <w:tmpl w:val="067E4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275E3E"/>
    <w:multiLevelType w:val="hybridMultilevel"/>
    <w:tmpl w:val="8496CC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3381CB9"/>
    <w:multiLevelType w:val="multilevel"/>
    <w:tmpl w:val="CC568FE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1145F"/>
    <w:multiLevelType w:val="multilevel"/>
    <w:tmpl w:val="29F03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B29B7"/>
    <w:multiLevelType w:val="hybridMultilevel"/>
    <w:tmpl w:val="D57819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136BE6"/>
    <w:multiLevelType w:val="hybridMultilevel"/>
    <w:tmpl w:val="6F3A7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95C19"/>
    <w:multiLevelType w:val="hybridMultilevel"/>
    <w:tmpl w:val="E7AAFA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61D3C"/>
    <w:multiLevelType w:val="multilevel"/>
    <w:tmpl w:val="54561D3C"/>
    <w:lvl w:ilvl="0">
      <w:start w:val="9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560E22F5"/>
    <w:multiLevelType w:val="multilevel"/>
    <w:tmpl w:val="560E22F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8697C9D"/>
    <w:multiLevelType w:val="multilevel"/>
    <w:tmpl w:val="58697C9D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5FFA36CD"/>
    <w:multiLevelType w:val="hybridMultilevel"/>
    <w:tmpl w:val="262A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2F2BCA"/>
    <w:multiLevelType w:val="multilevel"/>
    <w:tmpl w:val="642F2B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48D51D4"/>
    <w:multiLevelType w:val="multilevel"/>
    <w:tmpl w:val="648D51D4"/>
    <w:lvl w:ilvl="0">
      <w:start w:val="1"/>
      <w:numFmt w:val="bullet"/>
      <w:lvlText w:val="•"/>
      <w:lvlJc w:val="left"/>
      <w:pPr>
        <w:ind w:left="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D35C43"/>
    <w:multiLevelType w:val="hybridMultilevel"/>
    <w:tmpl w:val="7DF6E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CF547ED"/>
    <w:multiLevelType w:val="hybridMultilevel"/>
    <w:tmpl w:val="08B8D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EC01BDA"/>
    <w:multiLevelType w:val="multilevel"/>
    <w:tmpl w:val="6EC01BDA"/>
    <w:lvl w:ilvl="0">
      <w:start w:val="1"/>
      <w:numFmt w:val="bullet"/>
      <w:lvlText w:val=""/>
      <w:lvlJc w:val="left"/>
      <w:pPr>
        <w:ind w:left="4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751E40A1"/>
    <w:multiLevelType w:val="multilevel"/>
    <w:tmpl w:val="751E40A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D52676"/>
    <w:multiLevelType w:val="multilevel"/>
    <w:tmpl w:val="76D52676"/>
    <w:lvl w:ilvl="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9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78F072BD"/>
    <w:multiLevelType w:val="hybridMultilevel"/>
    <w:tmpl w:val="1674D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ACD604F"/>
    <w:multiLevelType w:val="hybridMultilevel"/>
    <w:tmpl w:val="291E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 w15:restartNumberingAfterBreak="0">
    <w:nsid w:val="7D475790"/>
    <w:multiLevelType w:val="hybridMultilevel"/>
    <w:tmpl w:val="FC943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25"/>
  </w:num>
  <w:num w:numId="2" w16cid:durableId="1725173386">
    <w:abstractNumId w:val="2"/>
  </w:num>
  <w:num w:numId="3" w16cid:durableId="286472075">
    <w:abstractNumId w:val="5"/>
  </w:num>
  <w:num w:numId="4" w16cid:durableId="1014459932">
    <w:abstractNumId w:val="66"/>
  </w:num>
  <w:num w:numId="5" w16cid:durableId="65803158">
    <w:abstractNumId w:val="27"/>
  </w:num>
  <w:num w:numId="6" w16cid:durableId="5983322">
    <w:abstractNumId w:val="30"/>
  </w:num>
  <w:num w:numId="7" w16cid:durableId="1874222817">
    <w:abstractNumId w:val="40"/>
  </w:num>
  <w:num w:numId="8" w16cid:durableId="898827077">
    <w:abstractNumId w:val="44"/>
  </w:num>
  <w:num w:numId="9" w16cid:durableId="149642736">
    <w:abstractNumId w:val="45"/>
  </w:num>
  <w:num w:numId="10" w16cid:durableId="1052853509">
    <w:abstractNumId w:val="51"/>
  </w:num>
  <w:num w:numId="11" w16cid:durableId="950281597">
    <w:abstractNumId w:val="60"/>
  </w:num>
  <w:num w:numId="12" w16cid:durableId="1140610350">
    <w:abstractNumId w:val="39"/>
  </w:num>
  <w:num w:numId="13" w16cid:durableId="1721444139">
    <w:abstractNumId w:val="59"/>
  </w:num>
  <w:num w:numId="14" w16cid:durableId="2077437496">
    <w:abstractNumId w:val="38"/>
  </w:num>
  <w:num w:numId="15" w16cid:durableId="261497287">
    <w:abstractNumId w:val="32"/>
  </w:num>
  <w:num w:numId="16" w16cid:durableId="133452846">
    <w:abstractNumId w:val="26"/>
  </w:num>
  <w:num w:numId="17" w16cid:durableId="998997453">
    <w:abstractNumId w:val="55"/>
  </w:num>
  <w:num w:numId="18" w16cid:durableId="1234242066">
    <w:abstractNumId w:val="65"/>
  </w:num>
  <w:num w:numId="19" w16cid:durableId="2078699959">
    <w:abstractNumId w:val="24"/>
  </w:num>
  <w:num w:numId="20" w16cid:durableId="1639072562">
    <w:abstractNumId w:val="11"/>
  </w:num>
  <w:num w:numId="21" w16cid:durableId="647586388">
    <w:abstractNumId w:val="67"/>
  </w:num>
  <w:num w:numId="22" w16cid:durableId="825053439">
    <w:abstractNumId w:val="13"/>
  </w:num>
  <w:num w:numId="23" w16cid:durableId="1304895095">
    <w:abstractNumId w:val="7"/>
  </w:num>
  <w:num w:numId="24" w16cid:durableId="1455247785">
    <w:abstractNumId w:val="41"/>
  </w:num>
  <w:num w:numId="25" w16cid:durableId="47656911">
    <w:abstractNumId w:val="10"/>
  </w:num>
  <w:num w:numId="26" w16cid:durableId="358051366">
    <w:abstractNumId w:val="12"/>
  </w:num>
  <w:num w:numId="27" w16cid:durableId="1174684703">
    <w:abstractNumId w:val="3"/>
  </w:num>
  <w:num w:numId="28" w16cid:durableId="2016954158">
    <w:abstractNumId w:val="49"/>
  </w:num>
  <w:num w:numId="29" w16cid:durableId="573781796">
    <w:abstractNumId w:val="23"/>
  </w:num>
  <w:num w:numId="30" w16cid:durableId="1132165166">
    <w:abstractNumId w:val="48"/>
  </w:num>
  <w:num w:numId="31" w16cid:durableId="1245798695">
    <w:abstractNumId w:val="63"/>
  </w:num>
  <w:num w:numId="32" w16cid:durableId="1997418686">
    <w:abstractNumId w:val="0"/>
  </w:num>
  <w:num w:numId="33" w16cid:durableId="1569728426">
    <w:abstractNumId w:val="35"/>
  </w:num>
  <w:num w:numId="34" w16cid:durableId="578566246">
    <w:abstractNumId w:val="50"/>
  </w:num>
  <w:num w:numId="35" w16cid:durableId="1891457335">
    <w:abstractNumId w:val="37"/>
  </w:num>
  <w:num w:numId="36" w16cid:durableId="1368876249">
    <w:abstractNumId w:val="19"/>
  </w:num>
  <w:num w:numId="37" w16cid:durableId="1137720001">
    <w:abstractNumId w:val="28"/>
  </w:num>
  <w:num w:numId="38" w16cid:durableId="427968819">
    <w:abstractNumId w:val="43"/>
  </w:num>
  <w:num w:numId="39" w16cid:durableId="1087382104">
    <w:abstractNumId w:val="57"/>
  </w:num>
  <w:num w:numId="40" w16cid:durableId="353653430">
    <w:abstractNumId w:val="29"/>
  </w:num>
  <w:num w:numId="41" w16cid:durableId="835539527">
    <w:abstractNumId w:val="58"/>
  </w:num>
  <w:num w:numId="42" w16cid:durableId="25064428">
    <w:abstractNumId w:val="34"/>
  </w:num>
  <w:num w:numId="43" w16cid:durableId="395056818">
    <w:abstractNumId w:val="47"/>
  </w:num>
  <w:num w:numId="44" w16cid:durableId="1339229719">
    <w:abstractNumId w:val="46"/>
  </w:num>
  <w:num w:numId="45" w16cid:durableId="3480135">
    <w:abstractNumId w:val="33"/>
  </w:num>
  <w:num w:numId="46" w16cid:durableId="1548057669">
    <w:abstractNumId w:val="17"/>
  </w:num>
  <w:num w:numId="47" w16cid:durableId="68700052">
    <w:abstractNumId w:val="36"/>
  </w:num>
  <w:num w:numId="48" w16cid:durableId="1819691249">
    <w:abstractNumId w:val="15"/>
  </w:num>
  <w:num w:numId="49" w16cid:durableId="2060591636">
    <w:abstractNumId w:val="54"/>
  </w:num>
  <w:num w:numId="50" w16cid:durableId="2062827174">
    <w:abstractNumId w:val="1"/>
  </w:num>
  <w:num w:numId="51" w16cid:durableId="705174894">
    <w:abstractNumId w:val="56"/>
  </w:num>
  <w:num w:numId="52" w16cid:durableId="840850583">
    <w:abstractNumId w:val="31"/>
  </w:num>
  <w:num w:numId="53" w16cid:durableId="1151209992">
    <w:abstractNumId w:val="53"/>
  </w:num>
  <w:num w:numId="54" w16cid:durableId="155733771">
    <w:abstractNumId w:val="18"/>
  </w:num>
  <w:num w:numId="55" w16cid:durableId="510803995">
    <w:abstractNumId w:val="64"/>
  </w:num>
  <w:num w:numId="56" w16cid:durableId="1266574837">
    <w:abstractNumId w:val="20"/>
  </w:num>
  <w:num w:numId="57" w16cid:durableId="1926066316">
    <w:abstractNumId w:val="62"/>
  </w:num>
  <w:num w:numId="58" w16cid:durableId="38554802">
    <w:abstractNumId w:val="6"/>
  </w:num>
  <w:num w:numId="59" w16cid:durableId="1666468636">
    <w:abstractNumId w:val="16"/>
  </w:num>
  <w:num w:numId="60" w16cid:durableId="1157914522">
    <w:abstractNumId w:val="52"/>
  </w:num>
  <w:num w:numId="61" w16cid:durableId="1239444053">
    <w:abstractNumId w:val="4"/>
  </w:num>
  <w:num w:numId="62" w16cid:durableId="1957367820">
    <w:abstractNumId w:val="42"/>
  </w:num>
  <w:num w:numId="63" w16cid:durableId="260339425">
    <w:abstractNumId w:val="61"/>
  </w:num>
  <w:num w:numId="64" w16cid:durableId="1649942813">
    <w:abstractNumId w:val="9"/>
  </w:num>
  <w:num w:numId="65" w16cid:durableId="2048142298">
    <w:abstractNumId w:val="8"/>
  </w:num>
  <w:num w:numId="66" w16cid:durableId="815534925">
    <w:abstractNumId w:val="21"/>
  </w:num>
  <w:num w:numId="67" w16cid:durableId="783235581">
    <w:abstractNumId w:val="22"/>
  </w:num>
  <w:num w:numId="68" w16cid:durableId="103114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1EF5"/>
    <w:rsid w:val="00042078"/>
    <w:rsid w:val="000466CA"/>
    <w:rsid w:val="00052E3D"/>
    <w:rsid w:val="0005346D"/>
    <w:rsid w:val="00053717"/>
    <w:rsid w:val="000550C1"/>
    <w:rsid w:val="00056731"/>
    <w:rsid w:val="00060B00"/>
    <w:rsid w:val="00062081"/>
    <w:rsid w:val="00066692"/>
    <w:rsid w:val="00070FEB"/>
    <w:rsid w:val="00077E23"/>
    <w:rsid w:val="00080057"/>
    <w:rsid w:val="000816CA"/>
    <w:rsid w:val="000833FD"/>
    <w:rsid w:val="00085EA9"/>
    <w:rsid w:val="0008791C"/>
    <w:rsid w:val="00090475"/>
    <w:rsid w:val="000973BC"/>
    <w:rsid w:val="000A73B5"/>
    <w:rsid w:val="000B5261"/>
    <w:rsid w:val="000B7777"/>
    <w:rsid w:val="000B7869"/>
    <w:rsid w:val="000C6BC3"/>
    <w:rsid w:val="000C7AE1"/>
    <w:rsid w:val="000C7F77"/>
    <w:rsid w:val="000D0B50"/>
    <w:rsid w:val="000D1DE7"/>
    <w:rsid w:val="000D2D93"/>
    <w:rsid w:val="000E0495"/>
    <w:rsid w:val="000E05E6"/>
    <w:rsid w:val="000E1CAD"/>
    <w:rsid w:val="000E35F9"/>
    <w:rsid w:val="000E402F"/>
    <w:rsid w:val="000F5EFA"/>
    <w:rsid w:val="000F7BF8"/>
    <w:rsid w:val="000F7D6D"/>
    <w:rsid w:val="000F7EC2"/>
    <w:rsid w:val="00100BDB"/>
    <w:rsid w:val="001014D5"/>
    <w:rsid w:val="00103181"/>
    <w:rsid w:val="00107F0B"/>
    <w:rsid w:val="00113952"/>
    <w:rsid w:val="00126310"/>
    <w:rsid w:val="00135BE1"/>
    <w:rsid w:val="001370F3"/>
    <w:rsid w:val="00156EE0"/>
    <w:rsid w:val="00164137"/>
    <w:rsid w:val="00166156"/>
    <w:rsid w:val="00174F62"/>
    <w:rsid w:val="00181D16"/>
    <w:rsid w:val="00183D3F"/>
    <w:rsid w:val="00185641"/>
    <w:rsid w:val="00193900"/>
    <w:rsid w:val="001A48FE"/>
    <w:rsid w:val="001A538D"/>
    <w:rsid w:val="001B1D62"/>
    <w:rsid w:val="001B2C47"/>
    <w:rsid w:val="001B2DD9"/>
    <w:rsid w:val="001C1960"/>
    <w:rsid w:val="001C24AE"/>
    <w:rsid w:val="001C61C7"/>
    <w:rsid w:val="001D2FEC"/>
    <w:rsid w:val="001D4199"/>
    <w:rsid w:val="001D7CA8"/>
    <w:rsid w:val="001E20F4"/>
    <w:rsid w:val="001F02F7"/>
    <w:rsid w:val="001F3003"/>
    <w:rsid w:val="001F4B3D"/>
    <w:rsid w:val="001F4CE6"/>
    <w:rsid w:val="001F6DBB"/>
    <w:rsid w:val="0021352F"/>
    <w:rsid w:val="00215A89"/>
    <w:rsid w:val="00225194"/>
    <w:rsid w:val="00227E62"/>
    <w:rsid w:val="00230098"/>
    <w:rsid w:val="00237FF9"/>
    <w:rsid w:val="002429F0"/>
    <w:rsid w:val="00252FEF"/>
    <w:rsid w:val="00255FC5"/>
    <w:rsid w:val="00256109"/>
    <w:rsid w:val="0026053A"/>
    <w:rsid w:val="002706F8"/>
    <w:rsid w:val="00270F3D"/>
    <w:rsid w:val="0027199F"/>
    <w:rsid w:val="00272145"/>
    <w:rsid w:val="002871B0"/>
    <w:rsid w:val="00291A06"/>
    <w:rsid w:val="002966A8"/>
    <w:rsid w:val="0029700F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011F6"/>
    <w:rsid w:val="003127FA"/>
    <w:rsid w:val="00316ECE"/>
    <w:rsid w:val="00320DD0"/>
    <w:rsid w:val="00321205"/>
    <w:rsid w:val="00321839"/>
    <w:rsid w:val="00321E15"/>
    <w:rsid w:val="0032650E"/>
    <w:rsid w:val="0033229F"/>
    <w:rsid w:val="00333139"/>
    <w:rsid w:val="0034338D"/>
    <w:rsid w:val="003473D8"/>
    <w:rsid w:val="0035295F"/>
    <w:rsid w:val="00362BBF"/>
    <w:rsid w:val="00363D33"/>
    <w:rsid w:val="00364F40"/>
    <w:rsid w:val="003770D5"/>
    <w:rsid w:val="00377420"/>
    <w:rsid w:val="00382861"/>
    <w:rsid w:val="00384BE6"/>
    <w:rsid w:val="00384D44"/>
    <w:rsid w:val="00392F17"/>
    <w:rsid w:val="00395D75"/>
    <w:rsid w:val="00396BDB"/>
    <w:rsid w:val="003A22E2"/>
    <w:rsid w:val="003A34B8"/>
    <w:rsid w:val="003B2976"/>
    <w:rsid w:val="003C1BF7"/>
    <w:rsid w:val="003C677E"/>
    <w:rsid w:val="003D013A"/>
    <w:rsid w:val="003E162A"/>
    <w:rsid w:val="003E6177"/>
    <w:rsid w:val="003E61FA"/>
    <w:rsid w:val="003E6AFF"/>
    <w:rsid w:val="003E6F9C"/>
    <w:rsid w:val="003E7465"/>
    <w:rsid w:val="003F5D81"/>
    <w:rsid w:val="003F7062"/>
    <w:rsid w:val="00400933"/>
    <w:rsid w:val="004034A0"/>
    <w:rsid w:val="00406010"/>
    <w:rsid w:val="00410D92"/>
    <w:rsid w:val="00412CF2"/>
    <w:rsid w:val="00420ED0"/>
    <w:rsid w:val="00421EC5"/>
    <w:rsid w:val="00433441"/>
    <w:rsid w:val="004343D2"/>
    <w:rsid w:val="00435FD8"/>
    <w:rsid w:val="0043692D"/>
    <w:rsid w:val="00437C3C"/>
    <w:rsid w:val="00444DC6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871E5"/>
    <w:rsid w:val="00496F45"/>
    <w:rsid w:val="004A0B89"/>
    <w:rsid w:val="004A51E6"/>
    <w:rsid w:val="004B3933"/>
    <w:rsid w:val="004C657A"/>
    <w:rsid w:val="004C6BCF"/>
    <w:rsid w:val="004D150F"/>
    <w:rsid w:val="004D2AF5"/>
    <w:rsid w:val="004D3536"/>
    <w:rsid w:val="004D734D"/>
    <w:rsid w:val="004E0ED3"/>
    <w:rsid w:val="004E6789"/>
    <w:rsid w:val="004F552B"/>
    <w:rsid w:val="00506AE1"/>
    <w:rsid w:val="00507397"/>
    <w:rsid w:val="00511AC6"/>
    <w:rsid w:val="00511E9D"/>
    <w:rsid w:val="00516962"/>
    <w:rsid w:val="005172A1"/>
    <w:rsid w:val="00532F89"/>
    <w:rsid w:val="0053446F"/>
    <w:rsid w:val="005350A0"/>
    <w:rsid w:val="00541960"/>
    <w:rsid w:val="00550AF2"/>
    <w:rsid w:val="005566F7"/>
    <w:rsid w:val="005578B6"/>
    <w:rsid w:val="00561C46"/>
    <w:rsid w:val="00562060"/>
    <w:rsid w:val="005667F2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A71D0"/>
    <w:rsid w:val="005B629A"/>
    <w:rsid w:val="005C01F9"/>
    <w:rsid w:val="005C5DCE"/>
    <w:rsid w:val="005D6F63"/>
    <w:rsid w:val="005E2F34"/>
    <w:rsid w:val="005E443E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4D35"/>
    <w:rsid w:val="0061678B"/>
    <w:rsid w:val="006203DC"/>
    <w:rsid w:val="00621B99"/>
    <w:rsid w:val="00624BC3"/>
    <w:rsid w:val="00625771"/>
    <w:rsid w:val="00625CEF"/>
    <w:rsid w:val="00625E52"/>
    <w:rsid w:val="006320A7"/>
    <w:rsid w:val="0063235E"/>
    <w:rsid w:val="006352C7"/>
    <w:rsid w:val="006420E9"/>
    <w:rsid w:val="00642311"/>
    <w:rsid w:val="00642F12"/>
    <w:rsid w:val="006515EC"/>
    <w:rsid w:val="00657132"/>
    <w:rsid w:val="00674AD4"/>
    <w:rsid w:val="00677E87"/>
    <w:rsid w:val="006821E9"/>
    <w:rsid w:val="00684AD3"/>
    <w:rsid w:val="00687F89"/>
    <w:rsid w:val="00690D7D"/>
    <w:rsid w:val="00692C1A"/>
    <w:rsid w:val="00693EA9"/>
    <w:rsid w:val="006943B8"/>
    <w:rsid w:val="0069574B"/>
    <w:rsid w:val="0069774B"/>
    <w:rsid w:val="006B14F7"/>
    <w:rsid w:val="006B2308"/>
    <w:rsid w:val="006B37D5"/>
    <w:rsid w:val="006C1F15"/>
    <w:rsid w:val="006D6AD1"/>
    <w:rsid w:val="006D7954"/>
    <w:rsid w:val="006E27FC"/>
    <w:rsid w:val="006E6689"/>
    <w:rsid w:val="006F0458"/>
    <w:rsid w:val="006F0F36"/>
    <w:rsid w:val="006F260F"/>
    <w:rsid w:val="006F3690"/>
    <w:rsid w:val="00707244"/>
    <w:rsid w:val="0071427B"/>
    <w:rsid w:val="00720A0D"/>
    <w:rsid w:val="00721C5B"/>
    <w:rsid w:val="0072426B"/>
    <w:rsid w:val="007244D7"/>
    <w:rsid w:val="0073142D"/>
    <w:rsid w:val="00736CB7"/>
    <w:rsid w:val="0073782B"/>
    <w:rsid w:val="007526F0"/>
    <w:rsid w:val="0075443B"/>
    <w:rsid w:val="00755D85"/>
    <w:rsid w:val="00757E21"/>
    <w:rsid w:val="0076053A"/>
    <w:rsid w:val="00761431"/>
    <w:rsid w:val="00761997"/>
    <w:rsid w:val="007620F9"/>
    <w:rsid w:val="0076266C"/>
    <w:rsid w:val="00771281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3BD8"/>
    <w:rsid w:val="007A3C54"/>
    <w:rsid w:val="007A4EB6"/>
    <w:rsid w:val="007A70A3"/>
    <w:rsid w:val="007A73C2"/>
    <w:rsid w:val="007B6AB6"/>
    <w:rsid w:val="007C4888"/>
    <w:rsid w:val="007C4EF8"/>
    <w:rsid w:val="007D3B2B"/>
    <w:rsid w:val="007D4216"/>
    <w:rsid w:val="007E02A5"/>
    <w:rsid w:val="007E092D"/>
    <w:rsid w:val="007E0952"/>
    <w:rsid w:val="007E0C9D"/>
    <w:rsid w:val="007E5AF5"/>
    <w:rsid w:val="007E7B0C"/>
    <w:rsid w:val="007F2E89"/>
    <w:rsid w:val="0080106B"/>
    <w:rsid w:val="00801779"/>
    <w:rsid w:val="00802DED"/>
    <w:rsid w:val="0081089F"/>
    <w:rsid w:val="00810A4E"/>
    <w:rsid w:val="00812149"/>
    <w:rsid w:val="00813C6A"/>
    <w:rsid w:val="00822A0E"/>
    <w:rsid w:val="00825FE5"/>
    <w:rsid w:val="008267B3"/>
    <w:rsid w:val="0082770E"/>
    <w:rsid w:val="00834031"/>
    <w:rsid w:val="00840737"/>
    <w:rsid w:val="00845115"/>
    <w:rsid w:val="00845B45"/>
    <w:rsid w:val="00860BFD"/>
    <w:rsid w:val="00862184"/>
    <w:rsid w:val="00863BFE"/>
    <w:rsid w:val="008704EB"/>
    <w:rsid w:val="00874A85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154A"/>
    <w:rsid w:val="008C568C"/>
    <w:rsid w:val="008C5CC1"/>
    <w:rsid w:val="008C6F35"/>
    <w:rsid w:val="008D151B"/>
    <w:rsid w:val="008D4D40"/>
    <w:rsid w:val="008D7F93"/>
    <w:rsid w:val="008E0991"/>
    <w:rsid w:val="008E0D50"/>
    <w:rsid w:val="008E147C"/>
    <w:rsid w:val="008E206E"/>
    <w:rsid w:val="008E24F5"/>
    <w:rsid w:val="008E3A77"/>
    <w:rsid w:val="008E72C4"/>
    <w:rsid w:val="009018E1"/>
    <w:rsid w:val="009055CA"/>
    <w:rsid w:val="009127D5"/>
    <w:rsid w:val="009177CC"/>
    <w:rsid w:val="009204FA"/>
    <w:rsid w:val="00924B7B"/>
    <w:rsid w:val="009310E7"/>
    <w:rsid w:val="009325DA"/>
    <w:rsid w:val="00937D08"/>
    <w:rsid w:val="00937ED4"/>
    <w:rsid w:val="00941BA4"/>
    <w:rsid w:val="00951C34"/>
    <w:rsid w:val="00952007"/>
    <w:rsid w:val="009544D2"/>
    <w:rsid w:val="0095651C"/>
    <w:rsid w:val="00960446"/>
    <w:rsid w:val="00960485"/>
    <w:rsid w:val="0096376F"/>
    <w:rsid w:val="009638B3"/>
    <w:rsid w:val="0096776C"/>
    <w:rsid w:val="00973FC8"/>
    <w:rsid w:val="00980E93"/>
    <w:rsid w:val="009811D8"/>
    <w:rsid w:val="009863DE"/>
    <w:rsid w:val="00992DDD"/>
    <w:rsid w:val="00997FE8"/>
    <w:rsid w:val="009A009A"/>
    <w:rsid w:val="009A2930"/>
    <w:rsid w:val="009A33D5"/>
    <w:rsid w:val="009A51F6"/>
    <w:rsid w:val="009A551D"/>
    <w:rsid w:val="009A7C69"/>
    <w:rsid w:val="009B04E2"/>
    <w:rsid w:val="009B0BB9"/>
    <w:rsid w:val="009B2AF2"/>
    <w:rsid w:val="009B3056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9F349C"/>
    <w:rsid w:val="00A013F2"/>
    <w:rsid w:val="00A01D7F"/>
    <w:rsid w:val="00A03885"/>
    <w:rsid w:val="00A03A33"/>
    <w:rsid w:val="00A03C43"/>
    <w:rsid w:val="00A07EDA"/>
    <w:rsid w:val="00A101A0"/>
    <w:rsid w:val="00A101E5"/>
    <w:rsid w:val="00A12148"/>
    <w:rsid w:val="00A143F1"/>
    <w:rsid w:val="00A14E6B"/>
    <w:rsid w:val="00A20B09"/>
    <w:rsid w:val="00A21C6C"/>
    <w:rsid w:val="00A22A3C"/>
    <w:rsid w:val="00A24BCD"/>
    <w:rsid w:val="00A30C28"/>
    <w:rsid w:val="00A35779"/>
    <w:rsid w:val="00A35922"/>
    <w:rsid w:val="00A41BF3"/>
    <w:rsid w:val="00A43408"/>
    <w:rsid w:val="00A445CC"/>
    <w:rsid w:val="00A44803"/>
    <w:rsid w:val="00A469D5"/>
    <w:rsid w:val="00A53A5A"/>
    <w:rsid w:val="00A541AE"/>
    <w:rsid w:val="00A6192D"/>
    <w:rsid w:val="00A70A17"/>
    <w:rsid w:val="00A832C8"/>
    <w:rsid w:val="00A86453"/>
    <w:rsid w:val="00A90B20"/>
    <w:rsid w:val="00A91DB8"/>
    <w:rsid w:val="00A92583"/>
    <w:rsid w:val="00AA1F09"/>
    <w:rsid w:val="00AA35D4"/>
    <w:rsid w:val="00AA3962"/>
    <w:rsid w:val="00AA537E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AF1AAA"/>
    <w:rsid w:val="00B00381"/>
    <w:rsid w:val="00B0072A"/>
    <w:rsid w:val="00B01585"/>
    <w:rsid w:val="00B04C52"/>
    <w:rsid w:val="00B05967"/>
    <w:rsid w:val="00B12520"/>
    <w:rsid w:val="00B21DAE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978D0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BF4FCC"/>
    <w:rsid w:val="00C06227"/>
    <w:rsid w:val="00C07272"/>
    <w:rsid w:val="00C17E37"/>
    <w:rsid w:val="00C32018"/>
    <w:rsid w:val="00C36A3D"/>
    <w:rsid w:val="00C414ED"/>
    <w:rsid w:val="00C41611"/>
    <w:rsid w:val="00C43050"/>
    <w:rsid w:val="00C43CBF"/>
    <w:rsid w:val="00C47007"/>
    <w:rsid w:val="00C606F1"/>
    <w:rsid w:val="00C64299"/>
    <w:rsid w:val="00C665F4"/>
    <w:rsid w:val="00C67C8B"/>
    <w:rsid w:val="00C7167D"/>
    <w:rsid w:val="00C74760"/>
    <w:rsid w:val="00C74857"/>
    <w:rsid w:val="00C76D2A"/>
    <w:rsid w:val="00C77D0B"/>
    <w:rsid w:val="00C90D31"/>
    <w:rsid w:val="00C91CBF"/>
    <w:rsid w:val="00C93B88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1DB8"/>
    <w:rsid w:val="00CD24EE"/>
    <w:rsid w:val="00CD40C0"/>
    <w:rsid w:val="00CE50E4"/>
    <w:rsid w:val="00CE70BE"/>
    <w:rsid w:val="00CF1C42"/>
    <w:rsid w:val="00CF5B56"/>
    <w:rsid w:val="00CF622C"/>
    <w:rsid w:val="00D002DE"/>
    <w:rsid w:val="00D00FDF"/>
    <w:rsid w:val="00D12E50"/>
    <w:rsid w:val="00D16543"/>
    <w:rsid w:val="00D237B4"/>
    <w:rsid w:val="00D24D7B"/>
    <w:rsid w:val="00D31246"/>
    <w:rsid w:val="00D33330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961BB"/>
    <w:rsid w:val="00DA6208"/>
    <w:rsid w:val="00DB1D7E"/>
    <w:rsid w:val="00DB21AB"/>
    <w:rsid w:val="00DB37FA"/>
    <w:rsid w:val="00DB7861"/>
    <w:rsid w:val="00DB7F4F"/>
    <w:rsid w:val="00DC2B11"/>
    <w:rsid w:val="00DC6252"/>
    <w:rsid w:val="00DE6F7D"/>
    <w:rsid w:val="00DF0D92"/>
    <w:rsid w:val="00DF5E79"/>
    <w:rsid w:val="00E1309C"/>
    <w:rsid w:val="00E15976"/>
    <w:rsid w:val="00E254D6"/>
    <w:rsid w:val="00E25DE2"/>
    <w:rsid w:val="00E369D4"/>
    <w:rsid w:val="00E37D51"/>
    <w:rsid w:val="00E410FE"/>
    <w:rsid w:val="00E431DF"/>
    <w:rsid w:val="00E574AE"/>
    <w:rsid w:val="00E625A8"/>
    <w:rsid w:val="00E70BE7"/>
    <w:rsid w:val="00E770B6"/>
    <w:rsid w:val="00E77C31"/>
    <w:rsid w:val="00E77CCC"/>
    <w:rsid w:val="00E81DF6"/>
    <w:rsid w:val="00E828B3"/>
    <w:rsid w:val="00E8487B"/>
    <w:rsid w:val="00E84CAB"/>
    <w:rsid w:val="00E86951"/>
    <w:rsid w:val="00E87B8B"/>
    <w:rsid w:val="00E956BE"/>
    <w:rsid w:val="00EA0D7B"/>
    <w:rsid w:val="00EA3FA8"/>
    <w:rsid w:val="00EA538C"/>
    <w:rsid w:val="00EC09AD"/>
    <w:rsid w:val="00EC4218"/>
    <w:rsid w:val="00EC6501"/>
    <w:rsid w:val="00ED1EC1"/>
    <w:rsid w:val="00ED296B"/>
    <w:rsid w:val="00ED4C8E"/>
    <w:rsid w:val="00ED5485"/>
    <w:rsid w:val="00EE7707"/>
    <w:rsid w:val="00EF25C4"/>
    <w:rsid w:val="00EF4E74"/>
    <w:rsid w:val="00EF5A3F"/>
    <w:rsid w:val="00EF631B"/>
    <w:rsid w:val="00F02B0D"/>
    <w:rsid w:val="00F02F83"/>
    <w:rsid w:val="00F136E1"/>
    <w:rsid w:val="00F1777D"/>
    <w:rsid w:val="00F26E2A"/>
    <w:rsid w:val="00F330DA"/>
    <w:rsid w:val="00F33A19"/>
    <w:rsid w:val="00F424DA"/>
    <w:rsid w:val="00F431A4"/>
    <w:rsid w:val="00F436B3"/>
    <w:rsid w:val="00F47A8C"/>
    <w:rsid w:val="00F563B9"/>
    <w:rsid w:val="00F56F54"/>
    <w:rsid w:val="00F715A2"/>
    <w:rsid w:val="00F7162B"/>
    <w:rsid w:val="00F77C39"/>
    <w:rsid w:val="00F811F8"/>
    <w:rsid w:val="00F86006"/>
    <w:rsid w:val="00F874CA"/>
    <w:rsid w:val="00F87F0B"/>
    <w:rsid w:val="00F91307"/>
    <w:rsid w:val="00F9302B"/>
    <w:rsid w:val="00F93E09"/>
    <w:rsid w:val="00F97D3C"/>
    <w:rsid w:val="00FA0276"/>
    <w:rsid w:val="00FA788A"/>
    <w:rsid w:val="00FB51B2"/>
    <w:rsid w:val="00FB75E6"/>
    <w:rsid w:val="00FC0A4C"/>
    <w:rsid w:val="00FC4B68"/>
    <w:rsid w:val="00FC5F25"/>
    <w:rsid w:val="00FC6078"/>
    <w:rsid w:val="00FD40DF"/>
    <w:rsid w:val="00FD5A2A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12C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ED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90</Pages>
  <Words>20511</Words>
  <Characters>116917</Characters>
  <Application>Microsoft Office Word</Application>
  <DocSecurity>0</DocSecurity>
  <Lines>974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804</cp:revision>
  <dcterms:created xsi:type="dcterms:W3CDTF">2024-04-04T06:22:00Z</dcterms:created>
  <dcterms:modified xsi:type="dcterms:W3CDTF">2024-06-04T12:13:00Z</dcterms:modified>
</cp:coreProperties>
</file>