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60853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</w:t>
      </w:r>
      <w:proofErr w:type="spellStart"/>
      <w:r w:rsidR="005871A4"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5871A4"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proofErr w:type="gramStart"/>
      <w:r w:rsidR="005A4824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 w:rsidRPr="00812149">
              <w:rPr>
                <w:rFonts w:ascii="Times New Roman" w:hAnsi="Times New Roman" w:cs="Times New Roman"/>
                <w:sz w:val="24"/>
                <w:szCs w:val="24"/>
              </w:rPr>
              <w:t>, несанкционированный доступ</w:t>
            </w:r>
            <w:r w:rsidR="00316ECE" w:rsidRPr="00812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812149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0C7F77" w:rsidRPr="00812149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812149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4C6BCF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812149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45E6252A" w:rsidR="00C17E37" w:rsidRDefault="00924B7B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2C5F2796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AE8B28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225B078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 xml:space="preserve">негативные последствия, </w:t>
      </w:r>
      <w:r w:rsidR="00E1309C">
        <w:rPr>
          <w:rFonts w:ascii="Times New Roman" w:hAnsi="Times New Roman" w:cs="Times New Roman"/>
          <w:sz w:val="28"/>
          <w:szCs w:val="28"/>
        </w:rPr>
        <w:t>нарушители,</w:t>
      </w:r>
      <w:r w:rsidR="00951C34">
        <w:rPr>
          <w:rFonts w:ascii="Times New Roman" w:hAnsi="Times New Roman" w:cs="Times New Roman"/>
          <w:sz w:val="28"/>
          <w:szCs w:val="28"/>
        </w:rPr>
        <w:t xml:space="preserve">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Неправильное использование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Несоблюдение правил эксплуатации устройства, при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каком либо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36E84894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76435BC4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0E8816F3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На основе приказа ФСТЭК России от 11 февраля 2013 г. N 17 «Об утверждении требований о защите информации, не составляющей государственную </w:t>
      </w:r>
      <w:r w:rsidRPr="00B73E60">
        <w:rPr>
          <w:rFonts w:ascii="Times New Roman" w:hAnsi="Times New Roman" w:cs="Times New Roman"/>
          <w:sz w:val="28"/>
          <w:szCs w:val="28"/>
        </w:rPr>
        <w:lastRenderedPageBreak/>
        <w:t>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570F4128" w14:textId="5B69832C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D24D7B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D24D7B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соединения, однонаправленная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Контроль санкционированного и исключение несанкционированного использования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целях адаптации базового набора мер были исключены некоторые меры, которые предоставлены в таблице 9</w:t>
      </w:r>
    </w:p>
    <w:p w14:paraId="126CF0FF" w14:textId="77777777" w:rsidR="008267B3" w:rsidRDefault="008267B3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 xml:space="preserve">Удаленная активация видеокамер, микрофонов и </w:t>
            </w:r>
            <w:proofErr w:type="spellStart"/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  <w:r w:rsidRPr="00E87B8B">
              <w:rPr>
                <w:rFonts w:ascii="Times New Roman" w:hAnsi="Times New Roman" w:cs="Times New Roman"/>
                <w:sz w:val="24"/>
                <w:szCs w:val="24"/>
              </w:rPr>
              <w:t xml:space="preserve">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УБИ.074 Угроза несанкционированного доступа к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0DFE8117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C36A3D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C36A3D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36A3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E86951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E86951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lastRenderedPageBreak/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5466975B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 xml:space="preserve">потребительских кредитов. На основе приказа ФСТЭК России от 11 февраля 2013 г. N 17 был определен средний уровень значимости (УЗ 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>) и класс защищенности К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5E09032E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 xml:space="preserve">В результате анализа приказов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 и от 18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21 был выявлен ряд необходимых мер защиты, отсутствующих в приказе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17. В целях увеличения защищенности АС и персональных данных, в частности, был приведен дополненный набор мер мерами из приказа ФСТЭК России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>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</w:t>
      </w:r>
      <w:bookmarkEnd w:id="8"/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автоматизированной системы потребительских кредитов</w:t>
      </w:r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4CC2996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bookmarkEnd w:id="9"/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</w:p>
    <w:p w14:paraId="31CCCF6E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(СЗИ).</w:t>
      </w:r>
    </w:p>
    <w:p w14:paraId="0E6959C7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К каждому виду СЗИ существуют определенные требования, которые необходимо учитывать при их выборе и применении. Для классификации и последующего выбора технических СЗИ используется специальный документ - приказ Минкомсвязи России от 22.09.2020 №480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 xml:space="preserve">Программы, которые должны предотвращать несанкционированный доступ к информации </w:t>
      </w:r>
      <w:r w:rsidRPr="00C76D2A">
        <w:rPr>
          <w:rFonts w:ascii="Times New Roman" w:hAnsi="Times New Roman" w:cs="Times New Roman"/>
          <w:sz w:val="28"/>
          <w:szCs w:val="28"/>
        </w:rPr>
        <w:t>не криптографическими</w:t>
      </w:r>
      <w:r w:rsidRPr="00C76D2A">
        <w:rPr>
          <w:rFonts w:ascii="Times New Roman" w:hAnsi="Times New Roman" w:cs="Times New Roman"/>
          <w:sz w:val="28"/>
          <w:szCs w:val="28"/>
        </w:rPr>
        <w:t xml:space="preserve">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обеспечение, которое должно обнаруживать атаки (в том числе </w:t>
      </w:r>
      <w:proofErr w:type="spellStart"/>
      <w:r w:rsidRPr="00C76D2A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76D2A">
        <w:rPr>
          <w:rFonts w:ascii="Times New Roman" w:hAnsi="Times New Roman" w:cs="Times New Roman"/>
          <w:sz w:val="28"/>
          <w:szCs w:val="28"/>
        </w:rPr>
        <w:t xml:space="preserve">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829E" w14:textId="07F3877B" w:rsidR="009E11DC" w:rsidRDefault="00F563B9" w:rsidP="00F563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3B9">
        <w:rPr>
          <w:rFonts w:ascii="Times New Roman" w:hAnsi="Times New Roman" w:cs="Times New Roman"/>
          <w:sz w:val="28"/>
          <w:szCs w:val="28"/>
        </w:rPr>
        <w:t>Кроме того, в работе будут рассмотрены некоторые пункты раздела "Средства разработки программного обеспечения", которые также имеют отношение к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9D709" w14:textId="50639B4D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 w:rsidRPr="009E11DC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9E11DC">
        <w:rPr>
          <w:rFonts w:ascii="Times New Roman" w:hAnsi="Times New Roman" w:cs="Times New Roman"/>
          <w:sz w:val="28"/>
          <w:szCs w:val="28"/>
        </w:rPr>
        <w:t xml:space="preserve"> контроля исходного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892EAF" w14:textId="3295A142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хранить несколько версий одного и того же документа и при необходимости возвращать к более ранним версиям и определять кем и когда были сделаны те или иные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A3B49" w14:textId="1849CB8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Среды разработки, тестирования и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0CF54" w14:textId="16F7918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Интегрированные программы, которые должны быть необходимыми для разработки программного обеспечения, включающие специализированное программное обеспечение, процедуры и документы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3E515" w14:textId="62123C8E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анализа исходного кода на закладки и уязвимости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ECEF7" w14:textId="17AB055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Средства, которые должны позволять проводить аудит безопасности исходного кода с использованием автоматизированных средств и ручной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A5CF9" w14:textId="70AA021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lastRenderedPageBreak/>
        <w:t>Системы предотвращения анализа и восстановления исполняемого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6A08A" w14:textId="261F3E7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защищать готовые исполняемые коды программ или исходные тексты программ от их анализа и 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934B" w14:textId="451F9C93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обратной инженерии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BE0AE" w14:textId="68C69A6D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предназначенное для решения задач восстановления, анализа, трансформации и визуализации реализованных в программном обеспечении архитектурных решений, алгоритмов и форматов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3D438DB5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>Таким образом, с помощью классификатора программ, предоставленного Минкомсвязи России, можно систематизировать и выбрать наиболее подходящие технические средства защиты информации для конкретной автоматизированной системы</w:t>
      </w:r>
      <w:r w:rsidR="00B51742">
        <w:rPr>
          <w:rFonts w:ascii="Times New Roman" w:hAnsi="Times New Roman" w:cs="Times New Roman"/>
          <w:sz w:val="28"/>
          <w:szCs w:val="28"/>
        </w:rPr>
        <w:t>. Это и было сделано и представлено в таблице 13</w:t>
      </w:r>
      <w:r w:rsidR="006515EC">
        <w:rPr>
          <w:rFonts w:ascii="Times New Roman" w:hAnsi="Times New Roman" w:cs="Times New Roman"/>
          <w:sz w:val="28"/>
          <w:szCs w:val="28"/>
        </w:rPr>
        <w:t xml:space="preserve"> в которой на основе данной классификации и с использованием </w:t>
      </w:r>
      <w:r w:rsidR="006515EC" w:rsidRPr="006515EC">
        <w:rPr>
          <w:rFonts w:ascii="Times New Roman" w:hAnsi="Times New Roman" w:cs="Times New Roman"/>
          <w:sz w:val="28"/>
          <w:szCs w:val="28"/>
        </w:rPr>
        <w:t>Реестра российского программного обеспечения и Государственн</w:t>
      </w:r>
      <w:r w:rsidR="00845115">
        <w:rPr>
          <w:rFonts w:ascii="Times New Roman" w:hAnsi="Times New Roman" w:cs="Times New Roman"/>
          <w:sz w:val="28"/>
          <w:szCs w:val="28"/>
        </w:rPr>
        <w:t>ого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845115">
        <w:rPr>
          <w:rFonts w:ascii="Times New Roman" w:hAnsi="Times New Roman" w:cs="Times New Roman"/>
          <w:sz w:val="28"/>
          <w:szCs w:val="28"/>
        </w:rPr>
        <w:t>а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сертифицированных средств защиты информации</w:t>
      </w:r>
      <w:r w:rsidR="00845115">
        <w:rPr>
          <w:rFonts w:ascii="Times New Roman" w:hAnsi="Times New Roman" w:cs="Times New Roman"/>
          <w:sz w:val="28"/>
          <w:szCs w:val="28"/>
        </w:rPr>
        <w:t xml:space="preserve"> были выбраны технические СЗИ</w:t>
      </w:r>
      <w:r w:rsidR="006515E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0" w:type="pct"/>
          </w:tcPr>
          <w:p w14:paraId="0FA617A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СЗИ DALLAS LOCK 8.0‑С</w:t>
            </w:r>
          </w:p>
        </w:tc>
        <w:tc>
          <w:tcPr>
            <w:tcW w:w="520" w:type="pct"/>
          </w:tcPr>
          <w:p w14:paraId="725040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0" w:type="pct"/>
          </w:tcPr>
          <w:p w14:paraId="49765747" w14:textId="30EF4038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5BFF0CF1" w14:textId="650A9A6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-Сеть 4 (ПАО «Газпром нефть»)</w:t>
            </w:r>
          </w:p>
        </w:tc>
        <w:tc>
          <w:tcPr>
            <w:tcW w:w="520" w:type="pct"/>
          </w:tcPr>
          <w:p w14:paraId="478BE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Sentinel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520" w:type="pct"/>
          </w:tcPr>
          <w:p w14:paraId="62CDC11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Sentinel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3D40C2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6ABA0F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0" w:type="pct"/>
          </w:tcPr>
          <w:p w14:paraId="5821C4E2" w14:textId="713F8AC5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D7756C6" w14:textId="2C4E6FB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0" w:type="pct"/>
          </w:tcPr>
          <w:p w14:paraId="0D5E14AC" w14:textId="1FBC7E3C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37</w:t>
            </w:r>
            <w:r w:rsidR="00D00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2E168CC" w14:textId="2935BB45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225 000</w:t>
            </w:r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Модуль ID</w:t>
            </w:r>
          </w:p>
        </w:tc>
        <w:tc>
          <w:tcPr>
            <w:tcW w:w="520" w:type="pct"/>
          </w:tcPr>
          <w:p w14:paraId="08DBD3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15 000</w:t>
            </w:r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  <w:proofErr w:type="spellEnd"/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Mind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tracker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Аккорд-АМДЗ</w:t>
            </w:r>
          </w:p>
        </w:tc>
        <w:tc>
          <w:tcPr>
            <w:tcW w:w="520" w:type="pct"/>
          </w:tcPr>
          <w:p w14:paraId="64203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15 000</w:t>
            </w:r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0" w:type="pct"/>
          </w:tcPr>
          <w:p w14:paraId="1F71810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520" w:type="pct"/>
          </w:tcPr>
          <w:p w14:paraId="02F1E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AB141E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  <w:vAlign w:val="center"/>
          </w:tcPr>
          <w:p w14:paraId="64FADF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0" w:type="pct"/>
            <w:vAlign w:val="center"/>
          </w:tcPr>
          <w:p w14:paraId="07648D41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DFF3F6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E0192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B5174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2E7C8E11" w14:textId="345EEEA1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0"/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508721" w14:textId="77777777" w:rsidR="00A30C28" w:rsidRDefault="00A30C28" w:rsidP="00A30C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DBDB9D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Цель проектирования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0084D85A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Обеспечение конфиденциальности, целостности и доступности персональных данных и финансовой информации, обрабатываемых в автоматизированной системе потребительских кредитов.</w:t>
      </w:r>
    </w:p>
    <w:p w14:paraId="036C9EA9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790F6214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Соответствие требованиям законодательства РФ, включая приказы ФСТЭК России № 17 и № 21.</w:t>
      </w:r>
    </w:p>
    <w:p w14:paraId="5E3296CD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Внедрение базового набора мер для обеспечения информационной безопасности с учетом специфики системы.</w:t>
      </w:r>
    </w:p>
    <w:p w14:paraId="55D028E3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Специфические требования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2DBD7451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Реализация идентификации и аутентификации пользователей и устройств.</w:t>
      </w:r>
    </w:p>
    <w:p w14:paraId="582417D3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Управление доступом к объектам системы.</w:t>
      </w:r>
    </w:p>
    <w:p w14:paraId="7BB2CFAB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Защита каналов связи и данных от несанкционированного доступа.</w:t>
      </w:r>
    </w:p>
    <w:p w14:paraId="15D5C10B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Обеспечение журналирования и мониторинга событий безопасности.</w:t>
      </w:r>
    </w:p>
    <w:p w14:paraId="445B8874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Технические меры защиты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068EB298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Использование шифрования данных на уровне хранения и передачи.</w:t>
      </w:r>
    </w:p>
    <w:p w14:paraId="2B662CA3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Внедрение антивирусного ПО и системы обнаружения вторжений.</w:t>
      </w:r>
    </w:p>
    <w:p w14:paraId="09CB44A2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Реализация двухфакторной аутентификации для критически важных операций.</w:t>
      </w:r>
    </w:p>
    <w:p w14:paraId="56149F0A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Организационные меры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70263891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Назначение ответственных лиц за управление безопасностью и реагирование на инциденты.</w:t>
      </w:r>
    </w:p>
    <w:p w14:paraId="05550F23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Проведение регулярных аудитов и оценок рисков.</w:t>
      </w:r>
    </w:p>
    <w:p w14:paraId="2B3259F4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Обучение персонала основам информационной безопасности.</w:t>
      </w:r>
    </w:p>
    <w:p w14:paraId="45B1ADDF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Документирование и контроль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4C6821BF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lastRenderedPageBreak/>
        <w:t>Ведение журналов изменений конфигурации и событий безопасности.</w:t>
      </w:r>
    </w:p>
    <w:p w14:paraId="51E37F24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Проведение анализа инцидентов и принятие мер по предотвращению повторных инцидентов.</w:t>
      </w:r>
    </w:p>
    <w:p w14:paraId="44BEF650" w14:textId="77777777" w:rsidR="00A30C28" w:rsidRDefault="00A30C28" w:rsidP="00A30C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E84237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3D7303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3D013A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3D013A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1C991" w14:textId="77777777" w:rsidR="007D4216" w:rsidRDefault="007D4216" w:rsidP="00252FEF">
      <w:pPr>
        <w:spacing w:after="0" w:line="240" w:lineRule="auto"/>
      </w:pPr>
      <w:r>
        <w:separator/>
      </w:r>
    </w:p>
  </w:endnote>
  <w:endnote w:type="continuationSeparator" w:id="0">
    <w:p w14:paraId="0C9CFFE7" w14:textId="77777777" w:rsidR="007D4216" w:rsidRDefault="007D4216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18C79" w14:textId="77777777" w:rsidR="007D4216" w:rsidRDefault="007D4216" w:rsidP="00252FEF">
      <w:pPr>
        <w:spacing w:after="0" w:line="240" w:lineRule="auto"/>
      </w:pPr>
      <w:r>
        <w:separator/>
      </w:r>
    </w:p>
  </w:footnote>
  <w:footnote w:type="continuationSeparator" w:id="0">
    <w:p w14:paraId="2FDBF948" w14:textId="77777777" w:rsidR="007D4216" w:rsidRDefault="007D4216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29B7"/>
    <w:multiLevelType w:val="hybridMultilevel"/>
    <w:tmpl w:val="140A17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12"/>
  </w:num>
  <w:num w:numId="2" w16cid:durableId="1725173386">
    <w:abstractNumId w:val="1"/>
  </w:num>
  <w:num w:numId="3" w16cid:durableId="286472075">
    <w:abstractNumId w:val="3"/>
  </w:num>
  <w:num w:numId="4" w16cid:durableId="1014459932">
    <w:abstractNumId w:val="37"/>
  </w:num>
  <w:num w:numId="5" w16cid:durableId="65803158">
    <w:abstractNumId w:val="14"/>
  </w:num>
  <w:num w:numId="6" w16cid:durableId="5983322">
    <w:abstractNumId w:val="16"/>
  </w:num>
  <w:num w:numId="7" w16cid:durableId="1874222817">
    <w:abstractNumId w:val="22"/>
  </w:num>
  <w:num w:numId="8" w16cid:durableId="898827077">
    <w:abstractNumId w:val="25"/>
  </w:num>
  <w:num w:numId="9" w16cid:durableId="149642736">
    <w:abstractNumId w:val="26"/>
  </w:num>
  <w:num w:numId="10" w16cid:durableId="1052853509">
    <w:abstractNumId w:val="30"/>
  </w:num>
  <w:num w:numId="11" w16cid:durableId="950281597">
    <w:abstractNumId w:val="34"/>
  </w:num>
  <w:num w:numId="12" w16cid:durableId="1140610350">
    <w:abstractNumId w:val="21"/>
  </w:num>
  <w:num w:numId="13" w16cid:durableId="1721444139">
    <w:abstractNumId w:val="33"/>
  </w:num>
  <w:num w:numId="14" w16cid:durableId="2077437496">
    <w:abstractNumId w:val="20"/>
  </w:num>
  <w:num w:numId="15" w16cid:durableId="261497287">
    <w:abstractNumId w:val="17"/>
  </w:num>
  <w:num w:numId="16" w16cid:durableId="133452846">
    <w:abstractNumId w:val="13"/>
  </w:num>
  <w:num w:numId="17" w16cid:durableId="998997453">
    <w:abstractNumId w:val="31"/>
  </w:num>
  <w:num w:numId="18" w16cid:durableId="1234242066">
    <w:abstractNumId w:val="36"/>
  </w:num>
  <w:num w:numId="19" w16cid:durableId="2078699959">
    <w:abstractNumId w:val="11"/>
  </w:num>
  <w:num w:numId="20" w16cid:durableId="1639072562">
    <w:abstractNumId w:val="6"/>
  </w:num>
  <w:num w:numId="21" w16cid:durableId="647586388">
    <w:abstractNumId w:val="38"/>
  </w:num>
  <w:num w:numId="22" w16cid:durableId="825053439">
    <w:abstractNumId w:val="8"/>
  </w:num>
  <w:num w:numId="23" w16cid:durableId="1304895095">
    <w:abstractNumId w:val="4"/>
  </w:num>
  <w:num w:numId="24" w16cid:durableId="1455247785">
    <w:abstractNumId w:val="23"/>
  </w:num>
  <w:num w:numId="25" w16cid:durableId="47656911">
    <w:abstractNumId w:val="5"/>
  </w:num>
  <w:num w:numId="26" w16cid:durableId="358051366">
    <w:abstractNumId w:val="7"/>
  </w:num>
  <w:num w:numId="27" w16cid:durableId="1174684703">
    <w:abstractNumId w:val="2"/>
  </w:num>
  <w:num w:numId="28" w16cid:durableId="2016954158">
    <w:abstractNumId w:val="28"/>
  </w:num>
  <w:num w:numId="29" w16cid:durableId="573781796">
    <w:abstractNumId w:val="10"/>
  </w:num>
  <w:num w:numId="30" w16cid:durableId="1132165166">
    <w:abstractNumId w:val="27"/>
  </w:num>
  <w:num w:numId="31" w16cid:durableId="1245798695">
    <w:abstractNumId w:val="35"/>
  </w:num>
  <w:num w:numId="32" w16cid:durableId="1997418686">
    <w:abstractNumId w:val="0"/>
  </w:num>
  <w:num w:numId="33" w16cid:durableId="1569728426">
    <w:abstractNumId w:val="18"/>
  </w:num>
  <w:num w:numId="34" w16cid:durableId="578566246">
    <w:abstractNumId w:val="29"/>
  </w:num>
  <w:num w:numId="35" w16cid:durableId="1891457335">
    <w:abstractNumId w:val="19"/>
  </w:num>
  <w:num w:numId="36" w16cid:durableId="1368876249">
    <w:abstractNumId w:val="9"/>
  </w:num>
  <w:num w:numId="37" w16cid:durableId="1137720001">
    <w:abstractNumId w:val="15"/>
  </w:num>
  <w:num w:numId="38" w16cid:durableId="427968819">
    <w:abstractNumId w:val="24"/>
  </w:num>
  <w:num w:numId="39" w16cid:durableId="10873821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303F"/>
    <w:rsid w:val="00027581"/>
    <w:rsid w:val="00032513"/>
    <w:rsid w:val="00036586"/>
    <w:rsid w:val="00042078"/>
    <w:rsid w:val="000466CA"/>
    <w:rsid w:val="00052E3D"/>
    <w:rsid w:val="000550C1"/>
    <w:rsid w:val="00056731"/>
    <w:rsid w:val="00060B00"/>
    <w:rsid w:val="00062081"/>
    <w:rsid w:val="00077E23"/>
    <w:rsid w:val="00080057"/>
    <w:rsid w:val="000816CA"/>
    <w:rsid w:val="00085EA9"/>
    <w:rsid w:val="0008791C"/>
    <w:rsid w:val="00090475"/>
    <w:rsid w:val="000B5261"/>
    <w:rsid w:val="000B7777"/>
    <w:rsid w:val="000B7869"/>
    <w:rsid w:val="000C6BC3"/>
    <w:rsid w:val="000C7F77"/>
    <w:rsid w:val="000D1DE7"/>
    <w:rsid w:val="000D2D93"/>
    <w:rsid w:val="000E0495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07F0B"/>
    <w:rsid w:val="00113952"/>
    <w:rsid w:val="00126310"/>
    <w:rsid w:val="00135BE1"/>
    <w:rsid w:val="001370F3"/>
    <w:rsid w:val="00156EE0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D4199"/>
    <w:rsid w:val="001E20F4"/>
    <w:rsid w:val="001F02F7"/>
    <w:rsid w:val="001F4CE6"/>
    <w:rsid w:val="001F6DBB"/>
    <w:rsid w:val="0021352F"/>
    <w:rsid w:val="00227E62"/>
    <w:rsid w:val="00230098"/>
    <w:rsid w:val="002429F0"/>
    <w:rsid w:val="00252FEF"/>
    <w:rsid w:val="00255FC5"/>
    <w:rsid w:val="00256109"/>
    <w:rsid w:val="0026053A"/>
    <w:rsid w:val="00270F3D"/>
    <w:rsid w:val="0027199F"/>
    <w:rsid w:val="00272145"/>
    <w:rsid w:val="002871B0"/>
    <w:rsid w:val="002966A8"/>
    <w:rsid w:val="002A4E4C"/>
    <w:rsid w:val="002B0E9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1E15"/>
    <w:rsid w:val="0032650E"/>
    <w:rsid w:val="0033229F"/>
    <w:rsid w:val="003473D8"/>
    <w:rsid w:val="00362BBF"/>
    <w:rsid w:val="00363D33"/>
    <w:rsid w:val="00364F40"/>
    <w:rsid w:val="003770D5"/>
    <w:rsid w:val="00382861"/>
    <w:rsid w:val="00384BE6"/>
    <w:rsid w:val="00392F17"/>
    <w:rsid w:val="00395D75"/>
    <w:rsid w:val="00396BDB"/>
    <w:rsid w:val="003B2976"/>
    <w:rsid w:val="003C1BF7"/>
    <w:rsid w:val="003D013A"/>
    <w:rsid w:val="003E162A"/>
    <w:rsid w:val="003E6177"/>
    <w:rsid w:val="003E61FA"/>
    <w:rsid w:val="003E6F9C"/>
    <w:rsid w:val="003E7465"/>
    <w:rsid w:val="003F5D81"/>
    <w:rsid w:val="003F7062"/>
    <w:rsid w:val="00400933"/>
    <w:rsid w:val="004034A0"/>
    <w:rsid w:val="00406010"/>
    <w:rsid w:val="00410D92"/>
    <w:rsid w:val="00420ED0"/>
    <w:rsid w:val="00421EC5"/>
    <w:rsid w:val="00433441"/>
    <w:rsid w:val="004343D2"/>
    <w:rsid w:val="00435FD8"/>
    <w:rsid w:val="0043692D"/>
    <w:rsid w:val="004523A7"/>
    <w:rsid w:val="00457EB7"/>
    <w:rsid w:val="00465D20"/>
    <w:rsid w:val="00467C08"/>
    <w:rsid w:val="00472891"/>
    <w:rsid w:val="00475CDC"/>
    <w:rsid w:val="00475D7D"/>
    <w:rsid w:val="00481352"/>
    <w:rsid w:val="00483BC7"/>
    <w:rsid w:val="00496F45"/>
    <w:rsid w:val="004A0B89"/>
    <w:rsid w:val="004A51E6"/>
    <w:rsid w:val="004C657A"/>
    <w:rsid w:val="004C6BCF"/>
    <w:rsid w:val="004D150F"/>
    <w:rsid w:val="004D2AF5"/>
    <w:rsid w:val="004D734D"/>
    <w:rsid w:val="004E0ED3"/>
    <w:rsid w:val="004E6789"/>
    <w:rsid w:val="00506AE1"/>
    <w:rsid w:val="00507397"/>
    <w:rsid w:val="00511E9D"/>
    <w:rsid w:val="00516962"/>
    <w:rsid w:val="005172A1"/>
    <w:rsid w:val="005350A0"/>
    <w:rsid w:val="00541960"/>
    <w:rsid w:val="00550AF2"/>
    <w:rsid w:val="005578B6"/>
    <w:rsid w:val="00562060"/>
    <w:rsid w:val="005719F4"/>
    <w:rsid w:val="00572CD8"/>
    <w:rsid w:val="005752EF"/>
    <w:rsid w:val="0057669C"/>
    <w:rsid w:val="00581D33"/>
    <w:rsid w:val="005837C5"/>
    <w:rsid w:val="00583D4F"/>
    <w:rsid w:val="005871A4"/>
    <w:rsid w:val="005875AC"/>
    <w:rsid w:val="00590447"/>
    <w:rsid w:val="005A307E"/>
    <w:rsid w:val="005A4824"/>
    <w:rsid w:val="005A4C41"/>
    <w:rsid w:val="005A6B68"/>
    <w:rsid w:val="005B629A"/>
    <w:rsid w:val="005C01F9"/>
    <w:rsid w:val="005C5DCE"/>
    <w:rsid w:val="005D6F63"/>
    <w:rsid w:val="005E2F34"/>
    <w:rsid w:val="005E5190"/>
    <w:rsid w:val="005E7109"/>
    <w:rsid w:val="005F4426"/>
    <w:rsid w:val="005F6739"/>
    <w:rsid w:val="005F7E8E"/>
    <w:rsid w:val="00605BA0"/>
    <w:rsid w:val="00610829"/>
    <w:rsid w:val="0061179F"/>
    <w:rsid w:val="006129C9"/>
    <w:rsid w:val="00613373"/>
    <w:rsid w:val="0061678B"/>
    <w:rsid w:val="00621B99"/>
    <w:rsid w:val="00625771"/>
    <w:rsid w:val="00625CEF"/>
    <w:rsid w:val="006320A7"/>
    <w:rsid w:val="0063235E"/>
    <w:rsid w:val="00642311"/>
    <w:rsid w:val="00642F12"/>
    <w:rsid w:val="006515EC"/>
    <w:rsid w:val="00657132"/>
    <w:rsid w:val="00677E87"/>
    <w:rsid w:val="006821E9"/>
    <w:rsid w:val="00684AD3"/>
    <w:rsid w:val="00687F89"/>
    <w:rsid w:val="00692C1A"/>
    <w:rsid w:val="00693EA9"/>
    <w:rsid w:val="006B14F7"/>
    <w:rsid w:val="006B37D5"/>
    <w:rsid w:val="006C1F15"/>
    <w:rsid w:val="006D7954"/>
    <w:rsid w:val="006E27FC"/>
    <w:rsid w:val="006E6689"/>
    <w:rsid w:val="006F0458"/>
    <w:rsid w:val="00707244"/>
    <w:rsid w:val="0071427B"/>
    <w:rsid w:val="00720A0D"/>
    <w:rsid w:val="00721C5B"/>
    <w:rsid w:val="0072426B"/>
    <w:rsid w:val="007244D7"/>
    <w:rsid w:val="0073142D"/>
    <w:rsid w:val="007526F0"/>
    <w:rsid w:val="00755D85"/>
    <w:rsid w:val="00757E21"/>
    <w:rsid w:val="00761431"/>
    <w:rsid w:val="00761997"/>
    <w:rsid w:val="007620F9"/>
    <w:rsid w:val="0076266C"/>
    <w:rsid w:val="00774E93"/>
    <w:rsid w:val="00780D53"/>
    <w:rsid w:val="0078221B"/>
    <w:rsid w:val="00782A5C"/>
    <w:rsid w:val="007903F4"/>
    <w:rsid w:val="00790F63"/>
    <w:rsid w:val="00793E6D"/>
    <w:rsid w:val="00794671"/>
    <w:rsid w:val="007A4EB6"/>
    <w:rsid w:val="007A70A3"/>
    <w:rsid w:val="007A73C2"/>
    <w:rsid w:val="007B6AB6"/>
    <w:rsid w:val="007C4888"/>
    <w:rsid w:val="007C4EF8"/>
    <w:rsid w:val="007D3B2B"/>
    <w:rsid w:val="007D4216"/>
    <w:rsid w:val="007E092D"/>
    <w:rsid w:val="007E0952"/>
    <w:rsid w:val="007E0C9D"/>
    <w:rsid w:val="0080106B"/>
    <w:rsid w:val="00801779"/>
    <w:rsid w:val="0081089F"/>
    <w:rsid w:val="00812149"/>
    <w:rsid w:val="00822A0E"/>
    <w:rsid w:val="008267B3"/>
    <w:rsid w:val="0082770E"/>
    <w:rsid w:val="00834031"/>
    <w:rsid w:val="00845115"/>
    <w:rsid w:val="00845B45"/>
    <w:rsid w:val="00860BFD"/>
    <w:rsid w:val="00862184"/>
    <w:rsid w:val="00863BFE"/>
    <w:rsid w:val="008757A7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568C"/>
    <w:rsid w:val="008C6F35"/>
    <w:rsid w:val="008D151B"/>
    <w:rsid w:val="008D7F93"/>
    <w:rsid w:val="008E147C"/>
    <w:rsid w:val="008E206E"/>
    <w:rsid w:val="009018E1"/>
    <w:rsid w:val="009055CA"/>
    <w:rsid w:val="009127D5"/>
    <w:rsid w:val="009177CC"/>
    <w:rsid w:val="00924B7B"/>
    <w:rsid w:val="009325DA"/>
    <w:rsid w:val="00937ED4"/>
    <w:rsid w:val="00941BA4"/>
    <w:rsid w:val="00951C34"/>
    <w:rsid w:val="00952007"/>
    <w:rsid w:val="009544D2"/>
    <w:rsid w:val="0095651C"/>
    <w:rsid w:val="00960485"/>
    <w:rsid w:val="0096376F"/>
    <w:rsid w:val="009638B3"/>
    <w:rsid w:val="0096776C"/>
    <w:rsid w:val="00980E93"/>
    <w:rsid w:val="009811D8"/>
    <w:rsid w:val="00997FE8"/>
    <w:rsid w:val="009A009A"/>
    <w:rsid w:val="009A2930"/>
    <w:rsid w:val="009A7C69"/>
    <w:rsid w:val="009B04E2"/>
    <w:rsid w:val="009B0BB9"/>
    <w:rsid w:val="009B2AF2"/>
    <w:rsid w:val="009B33EE"/>
    <w:rsid w:val="009B364E"/>
    <w:rsid w:val="009B70F1"/>
    <w:rsid w:val="009C394A"/>
    <w:rsid w:val="009D1EC6"/>
    <w:rsid w:val="009D20C3"/>
    <w:rsid w:val="009D3B53"/>
    <w:rsid w:val="009E0E58"/>
    <w:rsid w:val="009E11DC"/>
    <w:rsid w:val="009E45FB"/>
    <w:rsid w:val="009E62E9"/>
    <w:rsid w:val="00A013F2"/>
    <w:rsid w:val="00A01D7F"/>
    <w:rsid w:val="00A03A33"/>
    <w:rsid w:val="00A03C43"/>
    <w:rsid w:val="00A07EDA"/>
    <w:rsid w:val="00A101A0"/>
    <w:rsid w:val="00A12148"/>
    <w:rsid w:val="00A143F1"/>
    <w:rsid w:val="00A14E6B"/>
    <w:rsid w:val="00A21C6C"/>
    <w:rsid w:val="00A22A3C"/>
    <w:rsid w:val="00A24BCD"/>
    <w:rsid w:val="00A30C28"/>
    <w:rsid w:val="00A35779"/>
    <w:rsid w:val="00A41BF3"/>
    <w:rsid w:val="00A43408"/>
    <w:rsid w:val="00A445CC"/>
    <w:rsid w:val="00A44803"/>
    <w:rsid w:val="00A541AE"/>
    <w:rsid w:val="00A6192D"/>
    <w:rsid w:val="00A70A17"/>
    <w:rsid w:val="00A832C8"/>
    <w:rsid w:val="00A91DB8"/>
    <w:rsid w:val="00AA1F09"/>
    <w:rsid w:val="00AA35D4"/>
    <w:rsid w:val="00AA3962"/>
    <w:rsid w:val="00AA5AF4"/>
    <w:rsid w:val="00AB141E"/>
    <w:rsid w:val="00AB1516"/>
    <w:rsid w:val="00AB2481"/>
    <w:rsid w:val="00AC79B6"/>
    <w:rsid w:val="00AD11A7"/>
    <w:rsid w:val="00AD386E"/>
    <w:rsid w:val="00AE3675"/>
    <w:rsid w:val="00AE592D"/>
    <w:rsid w:val="00AE6794"/>
    <w:rsid w:val="00AE7B33"/>
    <w:rsid w:val="00AF0EE9"/>
    <w:rsid w:val="00B00381"/>
    <w:rsid w:val="00B0072A"/>
    <w:rsid w:val="00B01585"/>
    <w:rsid w:val="00B04C52"/>
    <w:rsid w:val="00B05967"/>
    <w:rsid w:val="00B12520"/>
    <w:rsid w:val="00B30D34"/>
    <w:rsid w:val="00B34D3D"/>
    <w:rsid w:val="00B421BB"/>
    <w:rsid w:val="00B436A6"/>
    <w:rsid w:val="00B4378F"/>
    <w:rsid w:val="00B43B04"/>
    <w:rsid w:val="00B51742"/>
    <w:rsid w:val="00B5233E"/>
    <w:rsid w:val="00B57104"/>
    <w:rsid w:val="00B645BF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C17E37"/>
    <w:rsid w:val="00C32018"/>
    <w:rsid w:val="00C36A3D"/>
    <w:rsid w:val="00C414ED"/>
    <w:rsid w:val="00C41611"/>
    <w:rsid w:val="00C43050"/>
    <w:rsid w:val="00C47007"/>
    <w:rsid w:val="00C606F1"/>
    <w:rsid w:val="00C665F4"/>
    <w:rsid w:val="00C67C8B"/>
    <w:rsid w:val="00C7167D"/>
    <w:rsid w:val="00C74857"/>
    <w:rsid w:val="00C76D2A"/>
    <w:rsid w:val="00C77D0B"/>
    <w:rsid w:val="00C94518"/>
    <w:rsid w:val="00C9719F"/>
    <w:rsid w:val="00CA1BEE"/>
    <w:rsid w:val="00CA3BE3"/>
    <w:rsid w:val="00CA3FEC"/>
    <w:rsid w:val="00CA540B"/>
    <w:rsid w:val="00CA6BA1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40C0"/>
    <w:rsid w:val="00CE50E4"/>
    <w:rsid w:val="00CE70BE"/>
    <w:rsid w:val="00CF622C"/>
    <w:rsid w:val="00D002DE"/>
    <w:rsid w:val="00D00FDF"/>
    <w:rsid w:val="00D12E50"/>
    <w:rsid w:val="00D16543"/>
    <w:rsid w:val="00D237B4"/>
    <w:rsid w:val="00D24D7B"/>
    <w:rsid w:val="00D31246"/>
    <w:rsid w:val="00D409AE"/>
    <w:rsid w:val="00D56410"/>
    <w:rsid w:val="00D736F2"/>
    <w:rsid w:val="00D77938"/>
    <w:rsid w:val="00D80BA2"/>
    <w:rsid w:val="00D81FD1"/>
    <w:rsid w:val="00D8254E"/>
    <w:rsid w:val="00D837CC"/>
    <w:rsid w:val="00D84CF4"/>
    <w:rsid w:val="00D93480"/>
    <w:rsid w:val="00DA6208"/>
    <w:rsid w:val="00DB1D7E"/>
    <w:rsid w:val="00DB37FA"/>
    <w:rsid w:val="00DB7861"/>
    <w:rsid w:val="00DB7F4F"/>
    <w:rsid w:val="00DC6252"/>
    <w:rsid w:val="00DE6F7D"/>
    <w:rsid w:val="00DF5E79"/>
    <w:rsid w:val="00E1309C"/>
    <w:rsid w:val="00E15976"/>
    <w:rsid w:val="00E254D6"/>
    <w:rsid w:val="00E25DE2"/>
    <w:rsid w:val="00E369D4"/>
    <w:rsid w:val="00E410FE"/>
    <w:rsid w:val="00E431DF"/>
    <w:rsid w:val="00E574AE"/>
    <w:rsid w:val="00E625A8"/>
    <w:rsid w:val="00E77C31"/>
    <w:rsid w:val="00E81DF6"/>
    <w:rsid w:val="00E86951"/>
    <w:rsid w:val="00E87B8B"/>
    <w:rsid w:val="00E956BE"/>
    <w:rsid w:val="00EA0D7B"/>
    <w:rsid w:val="00EA3FA8"/>
    <w:rsid w:val="00EC09AD"/>
    <w:rsid w:val="00EC4218"/>
    <w:rsid w:val="00EC6501"/>
    <w:rsid w:val="00ED1EC1"/>
    <w:rsid w:val="00ED4C8E"/>
    <w:rsid w:val="00EE7707"/>
    <w:rsid w:val="00EF25C4"/>
    <w:rsid w:val="00EF5A3F"/>
    <w:rsid w:val="00EF631B"/>
    <w:rsid w:val="00F02B0D"/>
    <w:rsid w:val="00F136E1"/>
    <w:rsid w:val="00F26E2A"/>
    <w:rsid w:val="00F563B9"/>
    <w:rsid w:val="00F56F54"/>
    <w:rsid w:val="00F715A2"/>
    <w:rsid w:val="00F77C39"/>
    <w:rsid w:val="00F811F8"/>
    <w:rsid w:val="00F86006"/>
    <w:rsid w:val="00F874CA"/>
    <w:rsid w:val="00F91307"/>
    <w:rsid w:val="00F93E09"/>
    <w:rsid w:val="00F97D3C"/>
    <w:rsid w:val="00FA788A"/>
    <w:rsid w:val="00FB51B2"/>
    <w:rsid w:val="00FB75E6"/>
    <w:rsid w:val="00FC0A4C"/>
    <w:rsid w:val="00FC4B68"/>
    <w:rsid w:val="00FC6078"/>
    <w:rsid w:val="00FD40DF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60</Pages>
  <Words>13379</Words>
  <Characters>76262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597</cp:revision>
  <dcterms:created xsi:type="dcterms:W3CDTF">2024-04-04T06:22:00Z</dcterms:created>
  <dcterms:modified xsi:type="dcterms:W3CDTF">2024-05-24T14:31:00Z</dcterms:modified>
</cp:coreProperties>
</file>