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EA893" w14:textId="77777777" w:rsidR="00AC5C08" w:rsidRPr="003D5243" w:rsidRDefault="00AC5C08" w:rsidP="001C2A42">
      <w:pPr>
        <w:pStyle w:val="3"/>
        <w:rPr>
          <w:rFonts w:ascii="Times New Roman" w:hAnsi="Times New Roman" w:cs="Times New Roman"/>
          <w:lang w:val="en-US"/>
        </w:rPr>
      </w:pPr>
      <w:r w:rsidRPr="003D5243">
        <w:rPr>
          <w:rFonts w:ascii="Times New Roman" w:hAnsi="Times New Roman" w:cs="Times New Roman"/>
        </w:rPr>
        <w:t>Введение</w:t>
      </w:r>
    </w:p>
    <w:p w14:paraId="5345FBD3" w14:textId="77777777" w:rsidR="00EB7284" w:rsidRPr="003D5243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краткое описание ситуации и выделение проблемы;</w:t>
      </w:r>
    </w:p>
    <w:p w14:paraId="3EDAA133" w14:textId="77777777" w:rsidR="00CA75D6" w:rsidRPr="003D5243" w:rsidRDefault="00CA75D6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Крайне интересная ситуация </w:t>
      </w:r>
      <w:r w:rsidR="00180523" w:rsidRPr="003D5243">
        <w:rPr>
          <w:rFonts w:ascii="Times New Roman" w:hAnsi="Times New Roman" w:cs="Times New Roman"/>
          <w:sz w:val="24"/>
          <w:szCs w:val="24"/>
        </w:rPr>
        <w:t>сложилась</w:t>
      </w:r>
      <w:r w:rsidRPr="003D5243">
        <w:rPr>
          <w:rFonts w:ascii="Times New Roman" w:hAnsi="Times New Roman" w:cs="Times New Roman"/>
          <w:sz w:val="24"/>
          <w:szCs w:val="24"/>
        </w:rPr>
        <w:t xml:space="preserve"> на рынке </w:t>
      </w:r>
      <w:proofErr w:type="spellStart"/>
      <w:proofErr w:type="gramStart"/>
      <w:r w:rsidRPr="003D5243">
        <w:rPr>
          <w:rFonts w:ascii="Times New Roman" w:hAnsi="Times New Roman" w:cs="Times New Roman"/>
          <w:sz w:val="24"/>
          <w:szCs w:val="24"/>
        </w:rPr>
        <w:t>хлебо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-булочных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изделий за 2016-2018 </w:t>
      </w:r>
      <w:proofErr w:type="spellStart"/>
      <w:r w:rsidRPr="003D5243">
        <w:rPr>
          <w:rFonts w:ascii="Times New Roman" w:hAnsi="Times New Roman" w:cs="Times New Roman"/>
          <w:sz w:val="24"/>
          <w:szCs w:val="24"/>
        </w:rPr>
        <w:t>г.г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. На рынке Санкт-Петербурга и Ленинградской области активно происходит развитие предприятий малого бизнеса</w:t>
      </w:r>
      <w:r w:rsidR="00180523" w:rsidRPr="003D5243">
        <w:rPr>
          <w:rFonts w:ascii="Times New Roman" w:hAnsi="Times New Roman" w:cs="Times New Roman"/>
          <w:sz w:val="24"/>
          <w:szCs w:val="24"/>
        </w:rPr>
        <w:t xml:space="preserve"> «мини-пекарен»</w:t>
      </w:r>
      <w:r w:rsidRPr="003D5243">
        <w:rPr>
          <w:rFonts w:ascii="Times New Roman" w:hAnsi="Times New Roman" w:cs="Times New Roman"/>
          <w:sz w:val="24"/>
          <w:szCs w:val="24"/>
        </w:rPr>
        <w:t xml:space="preserve">, обеспечивающих население </w:t>
      </w:r>
      <w:proofErr w:type="spellStart"/>
      <w:proofErr w:type="gramStart"/>
      <w:r w:rsidRPr="003D5243">
        <w:rPr>
          <w:rFonts w:ascii="Times New Roman" w:hAnsi="Times New Roman" w:cs="Times New Roman"/>
          <w:sz w:val="24"/>
          <w:szCs w:val="24"/>
        </w:rPr>
        <w:t>хлебо</w:t>
      </w:r>
      <w:proofErr w:type="spellEnd"/>
      <w:r w:rsidRPr="003D5243">
        <w:rPr>
          <w:rFonts w:ascii="Times New Roman" w:hAnsi="Times New Roman" w:cs="Times New Roman"/>
          <w:sz w:val="24"/>
          <w:szCs w:val="24"/>
        </w:rPr>
        <w:t>-булочными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изделиями «только из печки»</w:t>
      </w:r>
      <w:r w:rsidR="00180523" w:rsidRPr="003D5243">
        <w:rPr>
          <w:rFonts w:ascii="Times New Roman" w:hAnsi="Times New Roman" w:cs="Times New Roman"/>
          <w:sz w:val="24"/>
          <w:szCs w:val="24"/>
        </w:rPr>
        <w:t xml:space="preserve">, натуральными продуктами. </w:t>
      </w:r>
    </w:p>
    <w:p w14:paraId="6466E94F" w14:textId="79A522EC" w:rsidR="003D5243" w:rsidRDefault="003D5243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ОАО КАРАВАЙ является одним из крупнейших игроков рынка хлебобулочных изделий, соответственно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перераспределнии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доли рынка наиболее сильно чувствует влияние внешней среды. То есть в материальном выражении, если в 2016 году доля рынка КАРАВАЯ оценивалась в 30% от общего рынка ХБИ по СПб и ЛО, то на данный момент она сократилась примерно на 4%, уменьшение выпуска продукции в месяц примерно 744,6 тонн. готовой продукции только по 1 производственной площадке. Данный объем в большей степени был заполнен </w:t>
      </w:r>
      <w:r w:rsidR="00A43B0E">
        <w:rPr>
          <w:rFonts w:ascii="Times New Roman" w:hAnsi="Times New Roman" w:cs="Times New Roman"/>
          <w:sz w:val="24"/>
          <w:szCs w:val="24"/>
        </w:rPr>
        <w:t xml:space="preserve">продукцией </w:t>
      </w:r>
      <w:r>
        <w:rPr>
          <w:rFonts w:ascii="Times New Roman" w:hAnsi="Times New Roman" w:cs="Times New Roman"/>
          <w:sz w:val="24"/>
          <w:szCs w:val="24"/>
        </w:rPr>
        <w:t>вновь открывающи</w:t>
      </w:r>
      <w:r w:rsidR="00A43B0E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ся мини-пекарнями или сетевыми пекарнями, те же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ретейлеры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стали активно развивать собственную выпечку.</w:t>
      </w:r>
      <w:r w:rsidR="00264D17">
        <w:rPr>
          <w:rFonts w:ascii="Times New Roman" w:hAnsi="Times New Roman" w:cs="Times New Roman"/>
          <w:sz w:val="24"/>
          <w:szCs w:val="24"/>
        </w:rPr>
        <w:t xml:space="preserve"> На диаграмме ниже видно значительное уменьшение объемов выпускаемой продукции, в зависимости от года</w:t>
      </w:r>
      <w:r w:rsidR="00942CA8">
        <w:rPr>
          <w:rFonts w:ascii="Times New Roman" w:hAnsi="Times New Roman" w:cs="Times New Roman"/>
          <w:sz w:val="24"/>
          <w:szCs w:val="24"/>
        </w:rPr>
        <w:t>.</w:t>
      </w:r>
    </w:p>
    <w:p w14:paraId="6B80E381" w14:textId="5D53AAD2" w:rsidR="00264D17" w:rsidRDefault="00264D17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CD19F8" wp14:editId="797F834A">
            <wp:extent cx="5940425" cy="5818505"/>
            <wp:effectExtent l="0" t="0" r="317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B1155FD" w14:textId="77777777" w:rsidR="003D5243" w:rsidRDefault="00A43B0E" w:rsidP="00A43B0E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</w:t>
      </w:r>
      <w:r w:rsidRPr="00A43B0E">
        <w:rPr>
          <w:rFonts w:ascii="Times New Roman" w:hAnsi="Times New Roman" w:cs="Times New Roman"/>
          <w:sz w:val="24"/>
          <w:szCs w:val="24"/>
        </w:rPr>
        <w:t>, в условиях рыночной экономики для упрочения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 xml:space="preserve">положения предприятия необходимо </w:t>
      </w:r>
      <w:r>
        <w:rPr>
          <w:rFonts w:ascii="Times New Roman" w:hAnsi="Times New Roman" w:cs="Times New Roman"/>
          <w:sz w:val="24"/>
          <w:szCs w:val="24"/>
        </w:rPr>
        <w:t>выбрать такой путь развития компании</w:t>
      </w:r>
      <w:r w:rsidRPr="00A43B0E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A43B0E">
        <w:rPr>
          <w:rFonts w:ascii="Times New Roman" w:hAnsi="Times New Roman" w:cs="Times New Roman"/>
          <w:sz w:val="24"/>
          <w:szCs w:val="24"/>
        </w:rPr>
        <w:t xml:space="preserve"> обеспечи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A43B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компании</w:t>
      </w:r>
      <w:r w:rsidRPr="00A43B0E">
        <w:rPr>
          <w:rFonts w:ascii="Times New Roman" w:hAnsi="Times New Roman" w:cs="Times New Roman"/>
          <w:sz w:val="24"/>
          <w:szCs w:val="24"/>
        </w:rPr>
        <w:t xml:space="preserve"> получение достаточного</w:t>
      </w:r>
      <w:r>
        <w:rPr>
          <w:rFonts w:ascii="Times New Roman" w:hAnsi="Times New Roman" w:cs="Times New Roman"/>
          <w:sz w:val="24"/>
          <w:szCs w:val="24"/>
        </w:rPr>
        <w:t xml:space="preserve"> преимущества перед конкурентами</w:t>
      </w:r>
      <w:r w:rsidRPr="00A43B0E">
        <w:rPr>
          <w:rFonts w:ascii="Times New Roman" w:hAnsi="Times New Roman" w:cs="Times New Roman"/>
          <w:sz w:val="24"/>
          <w:szCs w:val="24"/>
        </w:rPr>
        <w:t>. Такое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>положение может быть достигнуто за счет стратегического развития самого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0E">
        <w:rPr>
          <w:rFonts w:ascii="Times New Roman" w:hAnsi="Times New Roman" w:cs="Times New Roman"/>
          <w:sz w:val="24"/>
          <w:szCs w:val="24"/>
        </w:rPr>
        <w:t xml:space="preserve">предприятия на основе передовых </w:t>
      </w:r>
      <w:r>
        <w:rPr>
          <w:rFonts w:ascii="Times New Roman" w:hAnsi="Times New Roman" w:cs="Times New Roman"/>
          <w:sz w:val="24"/>
          <w:szCs w:val="24"/>
        </w:rPr>
        <w:t>и инновационных технологий и оптимизации существующих производственных процессов</w:t>
      </w:r>
      <w:r w:rsidRPr="00A43B0E">
        <w:rPr>
          <w:rFonts w:ascii="Times New Roman" w:hAnsi="Times New Roman" w:cs="Times New Roman"/>
          <w:sz w:val="24"/>
          <w:szCs w:val="24"/>
        </w:rPr>
        <w:t>.</w:t>
      </w:r>
    </w:p>
    <w:p w14:paraId="431CA007" w14:textId="77777777" w:rsidR="00A43B0E" w:rsidRDefault="00A43B0E" w:rsidP="00A43B0E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понять направление развитие компании, а соответственно и выбираемы к реализации проекты необходимо провести разносторонний анализ </w:t>
      </w:r>
      <w:r w:rsidR="001C2A42">
        <w:rPr>
          <w:rFonts w:ascii="Times New Roman" w:hAnsi="Times New Roman" w:cs="Times New Roman"/>
          <w:sz w:val="24"/>
          <w:szCs w:val="24"/>
        </w:rPr>
        <w:t>самой компании.</w:t>
      </w:r>
    </w:p>
    <w:p w14:paraId="3C341392" w14:textId="77777777" w:rsidR="001C2A42" w:rsidRDefault="001C2A42" w:rsidP="001C2A42">
      <w:pPr>
        <w:pStyle w:val="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Предистория</w:t>
      </w:r>
      <w:proofErr w:type="spellEnd"/>
    </w:p>
    <w:p w14:paraId="34DF9883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ОАО «КАРАВАЙ» </w:t>
      </w:r>
      <w:r w:rsidRPr="001C2A42">
        <w:rPr>
          <w:rFonts w:ascii="Times New Roman" w:hAnsi="Times New Roman" w:cs="Times New Roman"/>
          <w:sz w:val="24"/>
          <w:szCs w:val="24"/>
        </w:rPr>
        <w:t xml:space="preserve">- один из крупнейших на Северо-Западе производителей хлебобулочных изделий. Это механизированное и автоматизированное </w:t>
      </w:r>
      <w:r w:rsidRPr="001C2A42">
        <w:rPr>
          <w:rFonts w:ascii="Times New Roman" w:hAnsi="Times New Roman" w:cs="Times New Roman"/>
          <w:sz w:val="24"/>
          <w:szCs w:val="24"/>
        </w:rPr>
        <w:lastRenderedPageBreak/>
        <w:t>предприятие, выпускающее широкий ассортимент хлеба, хлебобулочных, и мучных кондитерских изделий.</w:t>
      </w:r>
    </w:p>
    <w:p w14:paraId="00EAB694" w14:textId="77777777" w:rsidR="003D5243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 xml:space="preserve">История завода началась в 1926 году.  Именно тогда на Пленуме Центрального Комитета ВКП(б) было принято решение о его строительстве, которое рассматривалось как начало индустриализации хлебопекарной отрасли пищевой промышленности. Впервые в Советском Союзе планировалось построить крупный механизированный завод, специализировавшийся по выпуску формового хлеба. Первый в советской стране автоматизированный хлебозавод было решено построить в г. Ленинграде по последнему слову техники тех лет. Курировал строительство завода Алексей Егорович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– нарком продовольствия в Советском правительстве, выпускник Петровского училища Санкт-Петербургского купеческого общества. По поручению правительства А. Е.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вместе с группой специалистов должен был объехать передовые в техническом отношении страны и закупить самое совершенное оборудование для нового хлебозавода. Однако оказалось, что оборудования для выпечки хлеба, которая соответствовала </w:t>
      </w:r>
      <w:proofErr w:type="gramStart"/>
      <w:r w:rsidRPr="001C2A42">
        <w:rPr>
          <w:rFonts w:ascii="Times New Roman" w:hAnsi="Times New Roman" w:cs="Times New Roman"/>
          <w:sz w:val="24"/>
          <w:szCs w:val="24"/>
        </w:rPr>
        <w:t>бы  русским</w:t>
      </w:r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традициям, нигде не выпускалось. Тем не менее, заказ разместили на голландской фирме "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", печи изготовили в Англии по лицензии этой фирмы. Одновременно с возведением завода была построена собственная газовая станция. Работала она на дровах, которые привозили из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Ржевки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. Получаемый горючий газ подавался по трубам к печам. До сих пор 2 печи продолжают свою работу, и специалисты называют их уникальными, так как хлеба такого качества, выпекаемого в формах на открытом пламени, ни на каком другом оборудовании испечь не удается.</w:t>
      </w:r>
    </w:p>
    <w:p w14:paraId="476B0F33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1932 году завод получил 2 новые печи советского производства. И в 30-е годы предприятие переименовано в «</w:t>
      </w:r>
      <w:proofErr w:type="gramStart"/>
      <w:r w:rsidRPr="001C2A42">
        <w:rPr>
          <w:rFonts w:ascii="Times New Roman" w:hAnsi="Times New Roman" w:cs="Times New Roman"/>
          <w:sz w:val="24"/>
          <w:szCs w:val="24"/>
        </w:rPr>
        <w:t>Хлебозавод  №</w:t>
      </w:r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6 имени  А.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Бадаева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».</w:t>
      </w:r>
    </w:p>
    <w:p w14:paraId="713303A6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Борьба за технический прогресс, за всё новое, прогрессивное, стала нормой в повседневной работе коллектива и доброй традицией предприятия. 29 января 1993 года завод становится акционерным обществом открытого типа «Каравай». Несмотря на трудности, общие для всех российских предприятий в перестроечные и постперестроечные годы, хлебозавод весьма успешно развивается, укрепляя деловые отношения с иностранными и российскими партнёрами, вводя в эксплуатацию новое оборудование и расширяя ассортимент.</w:t>
      </w:r>
    </w:p>
    <w:p w14:paraId="4D1FE0BA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1995 году открылся новый цех по производству сдобы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Староневской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», выпускающий 15 наименований на оборудовании словацкого производства.</w:t>
      </w:r>
    </w:p>
    <w:p w14:paraId="5AFD2F49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lastRenderedPageBreak/>
        <w:t xml:space="preserve">В 1996 году запущена ещё одна линия по производству ржано-пшеничного хлеба. В канун 70-летия предприятия введена в эксплуатацию печь, изготовленная по новейшей технологии в Голландии специально по заказу «Каравая». Печь является уникальным образцом хлебопекарного оборудования и берет на себя основную нагрузку по выпечке формовых сортов хлеба, в том числе в период капитального ремонта печей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-Бура, уже 70 лет служащих хлебозаводу верой и правдой. В этом же, 1996 году, организована сеть магазинов фирменной торговли «Каравай-Сервис». </w:t>
      </w:r>
    </w:p>
    <w:p w14:paraId="3E0BFD0E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1997 году в состав ОАО «Каравай» вошли хлебозаводы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Паляница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Ржевка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-Хлеб».</w:t>
      </w:r>
      <w:r w:rsidRPr="001C2A42">
        <w:rPr>
          <w:rFonts w:ascii="Times New Roman" w:hAnsi="Times New Roman" w:cs="Times New Roman"/>
          <w:sz w:val="24"/>
          <w:szCs w:val="24"/>
        </w:rPr>
        <w:tab/>
        <w:t xml:space="preserve"> В период с1997 по 2000 год на предприятии производилась установка голландских печей фирмы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Den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Boer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» по производству формовых хлебов и батонов.</w:t>
      </w:r>
    </w:p>
    <w:p w14:paraId="6CF7CD63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 xml:space="preserve">В 2002 году была произведена реконструкция экспедиции и переход на отгрузку продукции в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евролотках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98F3DDB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2004 году после масштабной реконструкции введен в эксплуатацию цех батонов. В нем установлены 2 уникальные линии для производства широкого ассортимента хлебобулочных и мелкоштучных изделий. Поточно-механизированная линия № 9, изготовленная голландскими фирмами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Ден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>-Бур» и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Каак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», позволяет выпускать подовые круглые хлеба и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батонообразные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изделия. Автоматизированная линия № 10 (фирма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Rondo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Doge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») позволяет создавать из самых разных видов теста (сдобного, слоеного дрожжевого и </w:t>
      </w:r>
      <w:proofErr w:type="spellStart"/>
      <w:proofErr w:type="gramStart"/>
      <w:r w:rsidRPr="001C2A42">
        <w:rPr>
          <w:rFonts w:ascii="Times New Roman" w:hAnsi="Times New Roman" w:cs="Times New Roman"/>
          <w:sz w:val="24"/>
          <w:szCs w:val="24"/>
        </w:rPr>
        <w:t>бездрожжевого</w:t>
      </w:r>
      <w:proofErr w:type="spellEnd"/>
      <w:proofErr w:type="gramEnd"/>
      <w:r w:rsidRPr="001C2A42">
        <w:rPr>
          <w:rFonts w:ascii="Times New Roman" w:hAnsi="Times New Roman" w:cs="Times New Roman"/>
          <w:sz w:val="24"/>
          <w:szCs w:val="24"/>
        </w:rPr>
        <w:t xml:space="preserve"> и др.) изделия различной формы, с разнообразными видами начинки и отделки.</w:t>
      </w:r>
    </w:p>
    <w:p w14:paraId="0744F42C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2006 году ОАО «Каравай» приобрел 24% акций ОАО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Кушелевский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хлебозавод», укрепив свои позиции на рынке хлебобулочных изделий Санкт-Петербурга.</w:t>
      </w:r>
    </w:p>
    <w:p w14:paraId="7B57E7F7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2007 году введена в эксплуатацию уникальная мощная башня охлаждения готовых изделий; и в этом же году «Каравай» приобрел 24% акций ОАО «Заря». И в 2007 году предприятие отметило 80-летие основания.</w:t>
      </w:r>
    </w:p>
    <w:p w14:paraId="766AE078" w14:textId="77777777" w:rsid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2007 по 2017 </w:t>
      </w:r>
      <w:commentRangeStart w:id="0"/>
      <w:r>
        <w:rPr>
          <w:rFonts w:ascii="Times New Roman" w:hAnsi="Times New Roman" w:cs="Times New Roman"/>
          <w:sz w:val="24"/>
          <w:szCs w:val="24"/>
        </w:rPr>
        <w:t>год</w:t>
      </w:r>
      <w:commentRangeEnd w:id="0"/>
      <w:r w:rsidR="00926FFB" w:rsidRPr="00564DE6">
        <w:rPr>
          <w:rFonts w:ascii="Times New Roman" w:hAnsi="Times New Roman" w:cs="Times New Roman"/>
          <w:sz w:val="24"/>
          <w:szCs w:val="24"/>
        </w:rPr>
        <w:commentReference w:id="0"/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26FFB">
        <w:rPr>
          <w:rFonts w:ascii="Times New Roman" w:hAnsi="Times New Roman" w:cs="Times New Roman"/>
          <w:sz w:val="24"/>
          <w:szCs w:val="24"/>
        </w:rPr>
        <w:t xml:space="preserve"> было…</w:t>
      </w:r>
    </w:p>
    <w:p w14:paraId="7D32519A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718473" w14:textId="77777777" w:rsidR="001C2A42" w:rsidRPr="001C2A42" w:rsidRDefault="001C2A42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C2A42">
        <w:rPr>
          <w:rFonts w:ascii="Times New Roman" w:hAnsi="Times New Roman" w:cs="Times New Roman"/>
          <w:sz w:val="24"/>
          <w:szCs w:val="24"/>
        </w:rPr>
        <w:t>В настоящее время открытое акционерное общество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 представляет с</w:t>
      </w:r>
      <w:r w:rsidR="00926FFB">
        <w:rPr>
          <w:rFonts w:ascii="Times New Roman" w:hAnsi="Times New Roman" w:cs="Times New Roman"/>
          <w:sz w:val="24"/>
          <w:szCs w:val="24"/>
        </w:rPr>
        <w:t xml:space="preserve">обой современное производство, </w:t>
      </w:r>
      <w:r w:rsidRPr="001C2A42">
        <w:rPr>
          <w:rFonts w:ascii="Times New Roman" w:hAnsi="Times New Roman" w:cs="Times New Roman"/>
          <w:sz w:val="24"/>
          <w:szCs w:val="24"/>
        </w:rPr>
        <w:t>оснащенное оборудованием европейского уровня.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 xml:space="preserve">» - один из лидеров рынка хлебобулочных изделий Северо-Западного региона РФ, предприятие со 100 %-м отечественным капиталом. Фактически на сегодняшний день образована группа компаний, в состав </w:t>
      </w:r>
      <w:r w:rsidRPr="001C2A42">
        <w:rPr>
          <w:rFonts w:ascii="Times New Roman" w:hAnsi="Times New Roman" w:cs="Times New Roman"/>
          <w:sz w:val="24"/>
          <w:szCs w:val="24"/>
        </w:rPr>
        <w:lastRenderedPageBreak/>
        <w:t>которой входят 4 производственные площадки: ОАО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», ОАО «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Кушелевский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хлебозавод», ОАО «Заря», и ЗАО «Невская сушка».  «</w:t>
      </w:r>
      <w:r w:rsidR="00926FFB">
        <w:rPr>
          <w:rFonts w:ascii="Times New Roman" w:hAnsi="Times New Roman" w:cs="Times New Roman"/>
          <w:sz w:val="24"/>
          <w:szCs w:val="24"/>
        </w:rPr>
        <w:t>КАРАВАЙ</w:t>
      </w:r>
      <w:r w:rsidRPr="001C2A42">
        <w:rPr>
          <w:rFonts w:ascii="Times New Roman" w:hAnsi="Times New Roman" w:cs="Times New Roman"/>
          <w:sz w:val="24"/>
          <w:szCs w:val="24"/>
        </w:rPr>
        <w:t>» производит более 170 наименований сдобных и хлебобулочных изделий: это ржаные, ржано-пшеничные, пшеничные, зерновые, заварные и «здоровы</w:t>
      </w:r>
      <w:r w:rsidR="00926FFB">
        <w:rPr>
          <w:rFonts w:ascii="Times New Roman" w:hAnsi="Times New Roman" w:cs="Times New Roman"/>
          <w:sz w:val="24"/>
          <w:szCs w:val="24"/>
        </w:rPr>
        <w:t>е» хлеба, разнообразные батоны,</w:t>
      </w:r>
      <w:r w:rsidRPr="001C2A42">
        <w:rPr>
          <w:rFonts w:ascii="Times New Roman" w:hAnsi="Times New Roman" w:cs="Times New Roman"/>
          <w:sz w:val="24"/>
          <w:szCs w:val="24"/>
        </w:rPr>
        <w:t xml:space="preserve"> мелкоштучные изделия из сдобного, слоеного </w:t>
      </w:r>
      <w:proofErr w:type="spellStart"/>
      <w:r w:rsidRPr="001C2A42">
        <w:rPr>
          <w:rFonts w:ascii="Times New Roman" w:hAnsi="Times New Roman" w:cs="Times New Roman"/>
          <w:sz w:val="24"/>
          <w:szCs w:val="24"/>
        </w:rPr>
        <w:t>бездрожжевого</w:t>
      </w:r>
      <w:proofErr w:type="spellEnd"/>
      <w:r w:rsidRPr="001C2A42">
        <w:rPr>
          <w:rFonts w:ascii="Times New Roman" w:hAnsi="Times New Roman" w:cs="Times New Roman"/>
          <w:sz w:val="24"/>
          <w:szCs w:val="24"/>
        </w:rPr>
        <w:t xml:space="preserve"> и дрожжевого теста, мучные кондитерские изделия, бублики, сушки, несколько видов расфасованной муки. </w:t>
      </w:r>
    </w:p>
    <w:p w14:paraId="33F2DADD" w14:textId="77777777" w:rsidR="001C2A42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ОАО «КАРАВАЙ» - это компания, обладающая богатой историей, сильным кадровым составом, большим опытом, как производственным (технологическим), так и техническим.</w:t>
      </w:r>
    </w:p>
    <w:p w14:paraId="06C314C6" w14:textId="77777777" w:rsidR="00926FFB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модели Ларри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в</w:t>
      </w:r>
      <w:r w:rsidRPr="00926FFB">
        <w:rPr>
          <w:rFonts w:ascii="Times New Roman" w:hAnsi="Times New Roman" w:cs="Times New Roman"/>
          <w:sz w:val="24"/>
          <w:szCs w:val="24"/>
        </w:rPr>
        <w:t xml:space="preserve">первые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опубликован</w:t>
      </w:r>
      <w:r>
        <w:rPr>
          <w:rFonts w:ascii="Times New Roman" w:hAnsi="Times New Roman" w:cs="Times New Roman"/>
          <w:sz w:val="24"/>
          <w:szCs w:val="24"/>
        </w:rPr>
        <w:t>ой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в журнале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Harvard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FFB">
        <w:rPr>
          <w:rFonts w:ascii="Times New Roman" w:hAnsi="Times New Roman" w:cs="Times New Roman"/>
          <w:sz w:val="24"/>
          <w:szCs w:val="24"/>
        </w:rPr>
        <w:t>Review</w:t>
      </w:r>
      <w:proofErr w:type="spellEnd"/>
      <w:r w:rsidRPr="00926FFB">
        <w:rPr>
          <w:rFonts w:ascii="Times New Roman" w:hAnsi="Times New Roman" w:cs="Times New Roman"/>
          <w:sz w:val="24"/>
          <w:szCs w:val="24"/>
        </w:rPr>
        <w:t xml:space="preserve"> в 1972 году</w:t>
      </w:r>
      <w:r>
        <w:rPr>
          <w:rFonts w:ascii="Times New Roman" w:hAnsi="Times New Roman" w:cs="Times New Roman"/>
          <w:sz w:val="24"/>
          <w:szCs w:val="24"/>
        </w:rPr>
        <w:t>, компания уже давно прошла и находится между 5 и 6 ступенями роста</w:t>
      </w:r>
      <w:r w:rsidR="00D57113">
        <w:rPr>
          <w:rFonts w:ascii="Times New Roman" w:hAnsi="Times New Roman" w:cs="Times New Roman"/>
          <w:sz w:val="24"/>
          <w:szCs w:val="24"/>
        </w:rPr>
        <w:t xml:space="preserve">. Рост компании на данный момент осуществляется за счёт командной работы для решения поставленных задач. </w:t>
      </w:r>
    </w:p>
    <w:p w14:paraId="0500A429" w14:textId="5E88B6B0" w:rsidR="00D57113" w:rsidRPr="00564DE6" w:rsidRDefault="00D57113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характеризуется выделением из годового бюджета площадок по текущей деятельности, отдельно сформированного бюджета капитальных вложения, </w:t>
      </w:r>
      <w:proofErr w:type="gramStart"/>
      <w:r>
        <w:rPr>
          <w:rFonts w:ascii="Times New Roman" w:hAnsi="Times New Roman" w:cs="Times New Roman"/>
          <w:sz w:val="24"/>
          <w:szCs w:val="24"/>
        </w:rPr>
        <w:t>крупных проектов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направленных на совершенствование производства, условий труда, пищевой безопасности. </w:t>
      </w:r>
    </w:p>
    <w:p w14:paraId="04A65D2A" w14:textId="77777777" w:rsidR="001C2A42" w:rsidRDefault="00926FFB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commentRangeStart w:id="1"/>
      <w:r w:rsidRPr="00564D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7089D5" wp14:editId="3264570B">
            <wp:extent cx="5940425" cy="4042003"/>
            <wp:effectExtent l="0" t="0" r="3175" b="0"/>
            <wp:docPr id="1" name="Рисунок 1" descr="http://powerbranding.ru/wp-content/uploads/2014/07/greiner-olc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werbranding.ru/wp-content/uploads/2014/07/greiner-olc-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4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"/>
      <w:r w:rsidRPr="00564DE6">
        <w:rPr>
          <w:rFonts w:ascii="Times New Roman" w:hAnsi="Times New Roman" w:cs="Times New Roman"/>
          <w:sz w:val="24"/>
          <w:szCs w:val="24"/>
        </w:rPr>
        <w:commentReference w:id="1"/>
      </w:r>
    </w:p>
    <w:p w14:paraId="5A090338" w14:textId="77777777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Одновременно с этим формируется культура проектного офиса. При этом качество и полнота проработки проектов от года к году увеличивалась в значительной мере.</w:t>
      </w:r>
    </w:p>
    <w:p w14:paraId="585BC4A2" w14:textId="77777777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графике компания ОАО КАРАВАЙ находится на самой вершине, пройдя кризис границ, когда все проекты выносятся на общее обозрение, и появляется система обучения внутри компании, следующий её кризис в модели Ларри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был назван. При этом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Грейнер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считал, </w:t>
      </w:r>
      <w:r w:rsidRPr="00564DE6">
        <w:rPr>
          <w:rFonts w:ascii="Times New Roman" w:hAnsi="Times New Roman" w:cs="Times New Roman"/>
          <w:sz w:val="24"/>
          <w:szCs w:val="24"/>
        </w:rPr>
        <w:t>что данный кризис будет связан с физическим и моральным истощением сотрудника по причине интенсивной работы в команде с одной стороны и внедрения новых способов работы с другой.</w:t>
      </w:r>
      <w:r>
        <w:rPr>
          <w:rFonts w:ascii="Times New Roman" w:hAnsi="Times New Roman" w:cs="Times New Roman"/>
          <w:sz w:val="24"/>
          <w:szCs w:val="24"/>
        </w:rPr>
        <w:t xml:space="preserve"> По моему мнению такой кризис можно назвать кризисом инноваций. Когда рост компании может быть обеспечен за счёт внедрения инновационных продуктов.</w:t>
      </w:r>
    </w:p>
    <w:p w14:paraId="5DD28062" w14:textId="49578319" w:rsidR="00564DE6" w:rsidRDefault="00564DE6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изначально проекты были направлены на увеличение мощности или решения регулярно повторяющихся проблем, то </w:t>
      </w:r>
      <w:r w:rsidR="00BE238F">
        <w:rPr>
          <w:rFonts w:ascii="Times New Roman" w:hAnsi="Times New Roman" w:cs="Times New Roman"/>
          <w:sz w:val="24"/>
          <w:szCs w:val="24"/>
        </w:rPr>
        <w:t>к 2017 году, под воздействием внешней среды начинают меняться направления реализуемых проектов.</w:t>
      </w:r>
    </w:p>
    <w:p w14:paraId="3D4D3E62" w14:textId="743F1D05" w:rsidR="00BE238F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ОАО «КАРАВАЙ» данные проекты являются инновационными, так как не приводят к значительному увеличению объемов производимой продукции, а в большей степени рассчитаны на увеличение качества производимой продукции, увеличения конкурентной способности, и сохранения доли рынка.</w:t>
      </w:r>
    </w:p>
    <w:p w14:paraId="344941FA" w14:textId="69EAEE42" w:rsidR="00BE238F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кроме основной задачи проекты так же открывают возможность реализации стратегии дальнейшего развития ОАО «КАРАВАЙ».</w:t>
      </w:r>
    </w:p>
    <w:p w14:paraId="0B683BCE" w14:textId="77777777" w:rsidR="00D50EE8" w:rsidRDefault="00BE238F" w:rsidP="00564DE6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последними тенденциями в исключении ненатуральных продуктов из этикетки и выпуску экологически чистых продуктов. На ОАО «КАРАВАЙ» был реализован проект «Долгая опара», который включает в себя переход на новую технологию приготовления опары (</w:t>
      </w:r>
      <w:r w:rsidRPr="00BE238F">
        <w:rPr>
          <w:rFonts w:ascii="Times New Roman" w:hAnsi="Times New Roman" w:cs="Times New Roman"/>
          <w:sz w:val="24"/>
          <w:szCs w:val="24"/>
        </w:rPr>
        <w:t xml:space="preserve">Опара — полуфабрикат, применяемый для выпечки хлебобулочных изделий, гомогенизированная смесь муки, воды и дрожжей, предварительно </w:t>
      </w:r>
      <w:proofErr w:type="spellStart"/>
      <w:r w:rsidRPr="00BE238F">
        <w:rPr>
          <w:rFonts w:ascii="Times New Roman" w:hAnsi="Times New Roman" w:cs="Times New Roman"/>
          <w:sz w:val="24"/>
          <w:szCs w:val="24"/>
        </w:rPr>
        <w:t>сброженная</w:t>
      </w:r>
      <w:proofErr w:type="spellEnd"/>
      <w:r w:rsidRPr="00BE238F">
        <w:rPr>
          <w:rFonts w:ascii="Times New Roman" w:hAnsi="Times New Roman" w:cs="Times New Roman"/>
          <w:sz w:val="24"/>
          <w:szCs w:val="24"/>
        </w:rPr>
        <w:t xml:space="preserve"> и используемая как начальный состав для приготовления теста.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D50EE8">
        <w:rPr>
          <w:rFonts w:ascii="Times New Roman" w:hAnsi="Times New Roman" w:cs="Times New Roman"/>
          <w:sz w:val="24"/>
          <w:szCs w:val="24"/>
        </w:rPr>
        <w:t xml:space="preserve">, которая позволяет избавиться от </w:t>
      </w:r>
      <w:proofErr w:type="spellStart"/>
      <w:r w:rsidR="00D50EE8">
        <w:rPr>
          <w:rFonts w:ascii="Times New Roman" w:hAnsi="Times New Roman" w:cs="Times New Roman"/>
          <w:sz w:val="24"/>
          <w:szCs w:val="24"/>
        </w:rPr>
        <w:t>улучшителей</w:t>
      </w:r>
      <w:proofErr w:type="spellEnd"/>
      <w:r w:rsidR="00D50EE8">
        <w:rPr>
          <w:rFonts w:ascii="Times New Roman" w:hAnsi="Times New Roman" w:cs="Times New Roman"/>
          <w:sz w:val="24"/>
          <w:szCs w:val="24"/>
        </w:rPr>
        <w:t xml:space="preserve">, при этом сохранив, а в некоторых случаях и увеличив сроки </w:t>
      </w:r>
      <w:proofErr w:type="spellStart"/>
      <w:r w:rsidR="00D50EE8">
        <w:rPr>
          <w:rFonts w:ascii="Times New Roman" w:hAnsi="Times New Roman" w:cs="Times New Roman"/>
          <w:sz w:val="24"/>
          <w:szCs w:val="24"/>
        </w:rPr>
        <w:t>черствления</w:t>
      </w:r>
      <w:proofErr w:type="spellEnd"/>
      <w:r w:rsidR="00D50EE8">
        <w:rPr>
          <w:rFonts w:ascii="Times New Roman" w:hAnsi="Times New Roman" w:cs="Times New Roman"/>
          <w:sz w:val="24"/>
          <w:szCs w:val="24"/>
        </w:rPr>
        <w:t xml:space="preserve"> продукции, улучшая при этом вкусо-ароматическую композицию. При этом кроме непосредственно технологического улучшения производства, установка по данной технологии полностью автоматизированная, позволяющая выпускать продукт одинаково высокого качества вне зависимости от человеческого фактора.</w:t>
      </w:r>
    </w:p>
    <w:p w14:paraId="23D61D51" w14:textId="62E24AD8" w:rsidR="00D50EE8" w:rsidRDefault="00D50EE8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Кроме того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полуфабрикаты изготовленные с использованием данной технологии хранятся дольше, без специальной среды, такой как упаковка и холод, что делает данную технологию идеальной для полу выпеченной продукции.</w:t>
      </w:r>
    </w:p>
    <w:p w14:paraId="1E5E34C3" w14:textId="212E7D28" w:rsidR="00D50EE8" w:rsidRDefault="00D50EE8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Данная установка встраивалась в уже существующую линию, но в связи с финансовыми ограничениями,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большими рисками связанными с внедрением новой технологии была куплена не большая установка, позволяющая производить 1</w:t>
      </w:r>
      <w:r w:rsidR="00264D17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600</w:t>
      </w:r>
      <w:r w:rsidR="00264D17">
        <w:rPr>
          <w:rFonts w:ascii="Times New Roman" w:hAnsi="Times New Roman" w:cs="Times New Roman"/>
          <w:sz w:val="24"/>
          <w:szCs w:val="24"/>
        </w:rPr>
        <w:t xml:space="preserve"> кг в сутки, при этом был ряд проблем по использованию данного продукта.</w:t>
      </w:r>
    </w:p>
    <w:p w14:paraId="0FC66DAA" w14:textId="77777777" w:rsidR="00264D17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проблемой являлось, одновременное ведение двух технологий опары, старой и новой, так как для их использования требуется различное оборудование. При этом качество продукта,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его вкусо-ароматические свойства так же отличались, что влекло к появлению жалоб от сетевых магазинов.</w:t>
      </w:r>
    </w:p>
    <w:p w14:paraId="0F842247" w14:textId="20CCA884" w:rsidR="00264D17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реализации основного проекта прошёл год, за который накопился объём статистических данных, по продукции изготавливаемой с применением данной технологии,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был накоплен эксплуатационный опыт.</w:t>
      </w:r>
    </w:p>
    <w:p w14:paraId="6669957C" w14:textId="77777777" w:rsidR="00264D17" w:rsidRPr="00564DE6" w:rsidRDefault="00264D17" w:rsidP="00D50EE8">
      <w:pPr>
        <w:spacing w:after="0" w:line="360" w:lineRule="auto"/>
        <w:ind w:left="72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50C46F" w14:textId="77777777" w:rsidR="001C2A42" w:rsidRPr="003D5243" w:rsidRDefault="001C2A42" w:rsidP="003D524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E8CCEA9" w14:textId="287FFC17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проектная идея;</w:t>
      </w:r>
    </w:p>
    <w:p w14:paraId="50F6CD41" w14:textId="1C4BDA81" w:rsidR="00264D17" w:rsidRDefault="00264D17" w:rsidP="00264D1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Комплекс организационно</w:t>
      </w:r>
      <w:r w:rsidR="00942CA8">
        <w:rPr>
          <w:rFonts w:ascii="Times New Roman" w:hAnsi="Times New Roman" w:cs="Times New Roman"/>
          <w:sz w:val="24"/>
          <w:szCs w:val="24"/>
        </w:rPr>
        <w:t>-у</w:t>
      </w:r>
      <w:r>
        <w:rPr>
          <w:rFonts w:ascii="Times New Roman" w:hAnsi="Times New Roman" w:cs="Times New Roman"/>
          <w:sz w:val="24"/>
          <w:szCs w:val="24"/>
        </w:rPr>
        <w:t>правленческих мероприятий по полному переводу производственной линии на технологию «Долгая опара» с обосновывающими материалами.</w:t>
      </w:r>
    </w:p>
    <w:p w14:paraId="3D9E1515" w14:textId="77777777" w:rsidR="00264D17" w:rsidRPr="003D5243" w:rsidRDefault="00264D17" w:rsidP="00264D17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E0F872" w14:textId="6A5B5096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актуальность;</w:t>
      </w:r>
    </w:p>
    <w:p w14:paraId="4C2F6D2C" w14:textId="77777777" w:rsidR="00942CA8" w:rsidRPr="003D5243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A7F917" w14:textId="77777777" w:rsidR="00EB7284" w:rsidRPr="003D5243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цели и задачи; </w:t>
      </w:r>
    </w:p>
    <w:p w14:paraId="1E0BD2BB" w14:textId="0414CD66" w:rsidR="00EB7284" w:rsidRDefault="00A20BBA" w:rsidP="003D5243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исследовательская база.</w:t>
      </w:r>
    </w:p>
    <w:p w14:paraId="2D187468" w14:textId="08FEB4EB" w:rsidR="00942CA8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процессе работы было проанализирован рынок ХБИ СПб и ЛО, состояние компании ОАО «КАРАВАЙ» на момент написания работы в рамках необходимой для реализации проекта информации. Техническое состояние оборудования,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внутренняя среда компании.</w:t>
      </w:r>
    </w:p>
    <w:p w14:paraId="2E6F555E" w14:textId="77777777" w:rsidR="00942CA8" w:rsidRPr="003D5243" w:rsidRDefault="00942CA8" w:rsidP="00942CA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6A00E93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Основная часть</w:t>
      </w:r>
    </w:p>
    <w:p w14:paraId="055BF18D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Аналитическая часть </w:t>
      </w:r>
    </w:p>
    <w:p w14:paraId="334E6106" w14:textId="77777777" w:rsidR="00AC5C08" w:rsidRPr="003D5243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Анализ (внешний и внутренний), позволяющий оценить необходимость предполагаемых изменений, осуществляемых в рамках проекта </w:t>
      </w:r>
    </w:p>
    <w:p w14:paraId="60ED02DD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Разработка проекта</w:t>
      </w:r>
    </w:p>
    <w:p w14:paraId="7F93B066" w14:textId="1357F58E" w:rsidR="00AC5C08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Разработка плана осуществления проекта (по задачам, времени, ресурсам и затратам) и оценка инвестиционной привлекательности проекта </w:t>
      </w:r>
    </w:p>
    <w:p w14:paraId="30740295" w14:textId="1EACD3CE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42CA8">
        <w:rPr>
          <w:rFonts w:ascii="Times New Roman" w:hAnsi="Times New Roman" w:cs="Times New Roman"/>
          <w:sz w:val="24"/>
          <w:szCs w:val="24"/>
        </w:rPr>
        <w:lastRenderedPageBreak/>
        <w:t>Анализ</w:t>
      </w:r>
      <w:r>
        <w:rPr>
          <w:rFonts w:ascii="Times New Roman" w:hAnsi="Times New Roman" w:cs="Times New Roman"/>
          <w:sz w:val="24"/>
          <w:szCs w:val="24"/>
        </w:rPr>
        <w:t xml:space="preserve"> работы установки за </w:t>
      </w:r>
      <w:r w:rsidR="00687705">
        <w:rPr>
          <w:rFonts w:ascii="Times New Roman" w:hAnsi="Times New Roman" w:cs="Times New Roman"/>
          <w:sz w:val="24"/>
          <w:szCs w:val="24"/>
        </w:rPr>
        <w:t>предыдущий</w:t>
      </w:r>
      <w:r>
        <w:rPr>
          <w:rFonts w:ascii="Times New Roman" w:hAnsi="Times New Roman" w:cs="Times New Roman"/>
          <w:sz w:val="24"/>
          <w:szCs w:val="24"/>
        </w:rPr>
        <w:t xml:space="preserve"> год</w:t>
      </w:r>
    </w:p>
    <w:p w14:paraId="5610D82C" w14:textId="69E24BD7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реализации подобного проекта</w:t>
      </w:r>
    </w:p>
    <w:p w14:paraId="29846CD2" w14:textId="76D4990E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Сбор данных по производственным подразделениям для определения </w:t>
      </w:r>
      <w:r w:rsidR="008579D2">
        <w:rPr>
          <w:rFonts w:ascii="Times New Roman" w:hAnsi="Times New Roman" w:cs="Times New Roman"/>
          <w:sz w:val="24"/>
          <w:szCs w:val="24"/>
        </w:rPr>
        <w:t>производственных потребностей</w:t>
      </w:r>
    </w:p>
    <w:p w14:paraId="7506D01F" w14:textId="0A70B258" w:rsidR="00942CA8" w:rsidRDefault="008579D2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</w:t>
      </w:r>
      <w:r w:rsidR="00942CA8">
        <w:rPr>
          <w:rFonts w:ascii="Times New Roman" w:hAnsi="Times New Roman" w:cs="Times New Roman"/>
          <w:sz w:val="24"/>
          <w:szCs w:val="24"/>
        </w:rPr>
        <w:t xml:space="preserve"> команды для реализации проекта</w:t>
      </w:r>
    </w:p>
    <w:p w14:paraId="5DE4D077" w14:textId="150CD714" w:rsidR="00942CA8" w:rsidRDefault="00942CA8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круга заинтересованных лиц</w:t>
      </w:r>
    </w:p>
    <w:p w14:paraId="28A3E379" w14:textId="6816E489" w:rsidR="00942CA8" w:rsidRDefault="00687705" w:rsidP="00942CA8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исходных данных проекта по направлениям</w:t>
      </w:r>
    </w:p>
    <w:p w14:paraId="5E46985C" w14:textId="402487D8" w:rsidR="00687705" w:rsidRDefault="00687705" w:rsidP="00687705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Технология</w:t>
      </w:r>
    </w:p>
    <w:p w14:paraId="547C37C5" w14:textId="5F0A2A83" w:rsidR="00687705" w:rsidRDefault="00687705" w:rsidP="00687705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</w:t>
      </w:r>
    </w:p>
    <w:p w14:paraId="240DC646" w14:textId="52D55B67" w:rsidR="00687705" w:rsidRDefault="00687705" w:rsidP="00687705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Техническое исполнение</w:t>
      </w:r>
    </w:p>
    <w:p w14:paraId="5E2054BC" w14:textId="62ECA476" w:rsidR="00687705" w:rsidRDefault="00687705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Прики</w:t>
      </w:r>
      <w:r w:rsidR="008579D2">
        <w:rPr>
          <w:rFonts w:ascii="Times New Roman" w:hAnsi="Times New Roman" w:cs="Times New Roman"/>
          <w:sz w:val="24"/>
          <w:szCs w:val="24"/>
        </w:rPr>
        <w:t>дочная оценка стоимости проекта</w:t>
      </w:r>
    </w:p>
    <w:p w14:paraId="2B6E2420" w14:textId="7A23050C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необходимости проведения около проектных работ</w:t>
      </w:r>
    </w:p>
    <w:p w14:paraId="2C85A761" w14:textId="14E96F82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Распределения объемов работ</w:t>
      </w:r>
    </w:p>
    <w:p w14:paraId="6684A960" w14:textId="28575E93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сроков реализации проекта</w:t>
      </w:r>
    </w:p>
    <w:p w14:paraId="6FDBC614" w14:textId="0D60F096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рисков</w:t>
      </w:r>
    </w:p>
    <w:p w14:paraId="5AFA7019" w14:textId="44A3776A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технико-экономического обоснования</w:t>
      </w:r>
    </w:p>
    <w:p w14:paraId="4E28F58C" w14:textId="0D6A2038" w:rsidR="008579D2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способов оценки успешности проекта</w:t>
      </w:r>
    </w:p>
    <w:p w14:paraId="092C7EA0" w14:textId="484095DE" w:rsidR="008579D2" w:rsidRPr="00687705" w:rsidRDefault="008579D2" w:rsidP="00687705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готового проекта высшему руководству (инвестору)</w:t>
      </w:r>
    </w:p>
    <w:p w14:paraId="5FE32A45" w14:textId="0B651350" w:rsidR="00AC5C08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проекта</w:t>
      </w:r>
    </w:p>
    <w:p w14:paraId="5BAE9EF1" w14:textId="1EB4C536" w:rsidR="008579D2" w:rsidRDefault="008579D2" w:rsidP="008579D2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Заключение договоров</w:t>
      </w:r>
    </w:p>
    <w:p w14:paraId="17FE6443" w14:textId="0C504E18" w:rsidR="008579D2" w:rsidRDefault="008579D2" w:rsidP="008579D2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Выполнение работ</w:t>
      </w:r>
    </w:p>
    <w:p w14:paraId="7FD0A723" w14:textId="70522EF2" w:rsidR="008579D2" w:rsidRDefault="008579D2" w:rsidP="008579D2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за поставками (работами)</w:t>
      </w:r>
    </w:p>
    <w:p w14:paraId="1BDFE849" w14:textId="5B1C0567" w:rsidR="008579D2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Сдача проекта в эксплуатацию</w:t>
      </w:r>
    </w:p>
    <w:p w14:paraId="5D0816A9" w14:textId="3D75D747" w:rsidR="008579D2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персонала</w:t>
      </w:r>
    </w:p>
    <w:p w14:paraId="6CD089F2" w14:textId="2772C977" w:rsidR="008579D2" w:rsidRDefault="008579D2" w:rsidP="008579D2">
      <w:pPr>
        <w:pStyle w:val="a3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Анализ полученных результатов по проекту с установленной периодичностью</w:t>
      </w:r>
    </w:p>
    <w:p w14:paraId="79A7A322" w14:textId="41D65E6B" w:rsidR="006F558D" w:rsidRDefault="006F558D" w:rsidP="006F558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Технический</w:t>
      </w:r>
    </w:p>
    <w:p w14:paraId="57F0FE12" w14:textId="4FF83FEB" w:rsidR="006F558D" w:rsidRDefault="006F558D" w:rsidP="006F558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Технологический</w:t>
      </w:r>
    </w:p>
    <w:p w14:paraId="01B90AFE" w14:textId="0C278B02" w:rsidR="006F558D" w:rsidRPr="008579D2" w:rsidRDefault="006F558D" w:rsidP="006F558D">
      <w:pPr>
        <w:pStyle w:val="a3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Финансовыйк</w:t>
      </w:r>
      <w:bookmarkStart w:id="2" w:name="_GoBack"/>
      <w:bookmarkEnd w:id="2"/>
      <w:proofErr w:type="spellEnd"/>
    </w:p>
    <w:p w14:paraId="28D98497" w14:textId="77777777" w:rsidR="00EB7284" w:rsidRPr="003D5243" w:rsidRDefault="00A20BBA" w:rsidP="003D5243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Внедрение проекта</w:t>
      </w:r>
    </w:p>
    <w:p w14:paraId="3BC0616F" w14:textId="77777777" w:rsidR="00AC5C08" w:rsidRPr="003D5243" w:rsidRDefault="00AC5C08" w:rsidP="003D5243">
      <w:pPr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Разработка организационной схемы выполнения проекта, включая подготовку персонала и работу </w:t>
      </w:r>
      <w:proofErr w:type="gramStart"/>
      <w:r w:rsidRPr="003D5243">
        <w:rPr>
          <w:rFonts w:ascii="Times New Roman" w:hAnsi="Times New Roman" w:cs="Times New Roman"/>
          <w:sz w:val="24"/>
          <w:szCs w:val="24"/>
        </w:rPr>
        <w:t>в условиях</w:t>
      </w:r>
      <w:proofErr w:type="gramEnd"/>
      <w:r w:rsidRPr="003D5243">
        <w:rPr>
          <w:rFonts w:ascii="Times New Roman" w:hAnsi="Times New Roman" w:cs="Times New Roman"/>
          <w:sz w:val="24"/>
          <w:szCs w:val="24"/>
        </w:rPr>
        <w:t xml:space="preserve"> проведенных в результате проекта изменений </w:t>
      </w:r>
    </w:p>
    <w:p w14:paraId="5E66AB3A" w14:textId="77777777" w:rsidR="00AC5C08" w:rsidRPr="003D5243" w:rsidRDefault="00AC5C08" w:rsidP="003D5243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3C3A9FC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5243">
        <w:rPr>
          <w:rFonts w:ascii="Times New Roman" w:hAnsi="Times New Roman" w:cs="Times New Roman"/>
          <w:sz w:val="24"/>
          <w:szCs w:val="24"/>
        </w:rPr>
        <w:t>Заключение</w:t>
      </w:r>
    </w:p>
    <w:p w14:paraId="245D0130" w14:textId="77777777" w:rsidR="00EB7284" w:rsidRPr="003D5243" w:rsidRDefault="00A20BBA" w:rsidP="003D52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lastRenderedPageBreak/>
        <w:t>степень достижения поставленной цели проекта и результаты решения поставленных задач</w:t>
      </w:r>
    </w:p>
    <w:p w14:paraId="1F0363B5" w14:textId="77777777" w:rsidR="00EB7284" w:rsidRPr="003D5243" w:rsidRDefault="00A20BBA" w:rsidP="003D5243">
      <w:pPr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 xml:space="preserve">перспективы дальнейшей реализации предложений слушателя, целесообразность и возможность продолжения работ по тематике ВРСП </w:t>
      </w:r>
    </w:p>
    <w:p w14:paraId="6014E55A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CAF9C4B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</w:p>
    <w:p w14:paraId="180BA09F" w14:textId="77777777" w:rsidR="00AC5C08" w:rsidRPr="003D5243" w:rsidRDefault="00AC5C08" w:rsidP="003D52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D5243">
        <w:rPr>
          <w:rFonts w:ascii="Times New Roman" w:hAnsi="Times New Roman" w:cs="Times New Roman"/>
          <w:sz w:val="24"/>
          <w:szCs w:val="24"/>
        </w:rPr>
        <w:t>Приложения</w:t>
      </w:r>
    </w:p>
    <w:p w14:paraId="111DB028" w14:textId="77777777" w:rsidR="00C90702" w:rsidRDefault="00C90702">
      <w:pPr>
        <w:rPr>
          <w:lang w:val="en-US"/>
        </w:rPr>
      </w:pPr>
    </w:p>
    <w:p w14:paraId="3AFBB171" w14:textId="77777777" w:rsidR="00AC5C08" w:rsidRDefault="00AC5C08">
      <w:pPr>
        <w:rPr>
          <w:lang w:val="en-US"/>
        </w:rPr>
      </w:pPr>
      <w:r>
        <w:rPr>
          <w:lang w:val="en-US"/>
        </w:rPr>
        <w:br w:type="page"/>
      </w:r>
    </w:p>
    <w:p w14:paraId="64D31DC1" w14:textId="77777777" w:rsidR="00926FFB" w:rsidRDefault="00926FFB">
      <w:pPr>
        <w:rPr>
          <w:lang w:val="en-US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Используемая</w:t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литература</w:t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>:</w:t>
      </w:r>
      <w:r w:rsidRPr="00926FFB">
        <w:rPr>
          <w:rFonts w:ascii="Helvetica" w:hAnsi="Helvetica"/>
          <w:color w:val="333333"/>
          <w:sz w:val="21"/>
          <w:szCs w:val="21"/>
          <w:lang w:val="en-US"/>
        </w:rPr>
        <w:br/>
      </w:r>
      <w:r w:rsidRPr="00926FFB">
        <w:rPr>
          <w:rFonts w:ascii="Helvetica" w:hAnsi="Helvetica"/>
          <w:color w:val="333333"/>
          <w:sz w:val="21"/>
          <w:szCs w:val="21"/>
          <w:shd w:val="clear" w:color="auto" w:fill="FFFFFF"/>
          <w:lang w:val="en-US"/>
        </w:rPr>
        <w:t xml:space="preserve">Greiner, L. «Evolution and Revolution as Organizations Grow.»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Harvard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Business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Review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July-August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1972.</w:t>
      </w:r>
    </w:p>
    <w:p w14:paraId="12296FED" w14:textId="77777777" w:rsidR="00EB7284" w:rsidRPr="00AC5C08" w:rsidRDefault="00A20BBA" w:rsidP="00AC5C08">
      <w:pPr>
        <w:numPr>
          <w:ilvl w:val="0"/>
          <w:numId w:val="4"/>
        </w:numPr>
      </w:pPr>
      <w:r w:rsidRPr="00AC5C08">
        <w:t xml:space="preserve">Объем пояснительной записки  </w:t>
      </w:r>
      <w:r w:rsidR="00AC5C08" w:rsidRPr="00AC5C08">
        <w:rPr>
          <w:i/>
          <w:iCs/>
        </w:rPr>
        <w:t>40 – 60 стр.</w:t>
      </w:r>
    </w:p>
    <w:p w14:paraId="5AB77F68" w14:textId="77777777" w:rsidR="00EB7284" w:rsidRPr="00AC5C08" w:rsidRDefault="00A20BBA" w:rsidP="00AC5C08">
      <w:pPr>
        <w:numPr>
          <w:ilvl w:val="0"/>
          <w:numId w:val="4"/>
        </w:numPr>
      </w:pPr>
      <w:r w:rsidRPr="00AC5C08">
        <w:t xml:space="preserve">Объем итоговой презентации </w:t>
      </w:r>
      <w:r w:rsidR="00AC5C08" w:rsidRPr="00AC5C08">
        <w:rPr>
          <w:i/>
          <w:iCs/>
        </w:rPr>
        <w:t>10 – 14 слайдов</w:t>
      </w:r>
    </w:p>
    <w:p w14:paraId="4C9FAE58" w14:textId="77777777" w:rsidR="00AC5C08" w:rsidRDefault="00AC5C08">
      <w:pPr>
        <w:rPr>
          <w:lang w:val="en-US"/>
        </w:rPr>
      </w:pPr>
    </w:p>
    <w:p w14:paraId="24F03F96" w14:textId="77777777" w:rsidR="003D5243" w:rsidRDefault="003D5243">
      <w:pPr>
        <w:rPr>
          <w:lang w:val="en-US"/>
        </w:rPr>
      </w:pPr>
    </w:p>
    <w:p w14:paraId="2FC41A43" w14:textId="77777777" w:rsidR="003D5243" w:rsidRPr="00AC5C08" w:rsidRDefault="003D5243">
      <w:pPr>
        <w:rPr>
          <w:lang w:val="en-US"/>
        </w:rPr>
      </w:pPr>
    </w:p>
    <w:sectPr w:rsidR="003D5243" w:rsidRPr="00AC5C08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 Windows" w:date="2018-06-21T23:52:00Z" w:initials="ПW">
    <w:p w14:paraId="4E6C1059" w14:textId="77777777" w:rsidR="00926FFB" w:rsidRDefault="00926FFB">
      <w:pPr>
        <w:pStyle w:val="a5"/>
      </w:pPr>
      <w:r>
        <w:rPr>
          <w:rStyle w:val="a4"/>
        </w:rPr>
        <w:annotationRef/>
      </w:r>
      <w:r>
        <w:t>Нужно добавить истории из инвестиционных проектов</w:t>
      </w:r>
    </w:p>
  </w:comment>
  <w:comment w:id="1" w:author="Пользователь Windows" w:date="2018-06-22T00:00:00Z" w:initials="ПW">
    <w:p w14:paraId="22BBFE86" w14:textId="77777777" w:rsidR="00926FFB" w:rsidRDefault="00926FFB">
      <w:pPr>
        <w:pStyle w:val="a5"/>
      </w:pPr>
      <w:r>
        <w:rPr>
          <w:rStyle w:val="a4"/>
        </w:rPr>
        <w:annotationRef/>
      </w:r>
      <w:r w:rsidRPr="00926FFB">
        <w:t>http://powerbranding.ru/biznes-analiz/olc-models/greiner-theory/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E6C1059" w15:done="0"/>
  <w15:commentEx w15:paraId="22BBFE8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90E667" w14:textId="77777777" w:rsidR="0028454B" w:rsidRDefault="0028454B" w:rsidP="00926FFB">
      <w:pPr>
        <w:spacing w:after="0" w:line="240" w:lineRule="auto"/>
      </w:pPr>
      <w:r>
        <w:separator/>
      </w:r>
    </w:p>
  </w:endnote>
  <w:endnote w:type="continuationSeparator" w:id="0">
    <w:p w14:paraId="017EA1ED" w14:textId="77777777" w:rsidR="0028454B" w:rsidRDefault="0028454B" w:rsidP="00926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7205370"/>
      <w:docPartObj>
        <w:docPartGallery w:val="Page Numbers (Bottom of Page)"/>
        <w:docPartUnique/>
      </w:docPartObj>
    </w:sdtPr>
    <w:sdtContent>
      <w:p w14:paraId="3F9F7AC0" w14:textId="6CE8DE37" w:rsidR="00926FFB" w:rsidRDefault="00926FF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558D">
          <w:rPr>
            <w:noProof/>
          </w:rPr>
          <w:t>10</w:t>
        </w:r>
        <w:r>
          <w:fldChar w:fldCharType="end"/>
        </w:r>
      </w:p>
    </w:sdtContent>
  </w:sdt>
  <w:p w14:paraId="6434E0BA" w14:textId="77777777" w:rsidR="00926FFB" w:rsidRDefault="00926FF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EF1396" w14:textId="77777777" w:rsidR="0028454B" w:rsidRDefault="0028454B" w:rsidP="00926FFB">
      <w:pPr>
        <w:spacing w:after="0" w:line="240" w:lineRule="auto"/>
      </w:pPr>
      <w:r>
        <w:separator/>
      </w:r>
    </w:p>
  </w:footnote>
  <w:footnote w:type="continuationSeparator" w:id="0">
    <w:p w14:paraId="5F61E26D" w14:textId="77777777" w:rsidR="0028454B" w:rsidRDefault="0028454B" w:rsidP="00926F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535F4"/>
    <w:multiLevelType w:val="hybridMultilevel"/>
    <w:tmpl w:val="F9D63044"/>
    <w:lvl w:ilvl="0" w:tplc="F22C22E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D16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6FA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A37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F65F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E2CF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B0B1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C585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9AED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2333F"/>
    <w:multiLevelType w:val="hybridMultilevel"/>
    <w:tmpl w:val="582C066A"/>
    <w:lvl w:ilvl="0" w:tplc="6026E9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52883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657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A2A6B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6C46C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D3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546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C052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4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C21DC"/>
    <w:multiLevelType w:val="hybridMultilevel"/>
    <w:tmpl w:val="4C781ED0"/>
    <w:lvl w:ilvl="0" w:tplc="6B6461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248A0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84981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768E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C476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DA0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7CF5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05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0AEF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47730"/>
    <w:multiLevelType w:val="hybridMultilevel"/>
    <w:tmpl w:val="686EB732"/>
    <w:lvl w:ilvl="0" w:tplc="962EC9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26BEA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07BA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EB5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4235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82940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A40E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0443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70F9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08"/>
    <w:rsid w:val="00125228"/>
    <w:rsid w:val="00180523"/>
    <w:rsid w:val="001C2A42"/>
    <w:rsid w:val="00264D17"/>
    <w:rsid w:val="0028454B"/>
    <w:rsid w:val="003D5243"/>
    <w:rsid w:val="00564DE6"/>
    <w:rsid w:val="005F5810"/>
    <w:rsid w:val="00687705"/>
    <w:rsid w:val="006F558D"/>
    <w:rsid w:val="007D6B77"/>
    <w:rsid w:val="008579D2"/>
    <w:rsid w:val="00926FFB"/>
    <w:rsid w:val="00942CA8"/>
    <w:rsid w:val="00A20BBA"/>
    <w:rsid w:val="00A43B0E"/>
    <w:rsid w:val="00AC5C08"/>
    <w:rsid w:val="00BE238F"/>
    <w:rsid w:val="00C06E2F"/>
    <w:rsid w:val="00C90702"/>
    <w:rsid w:val="00CA75D6"/>
    <w:rsid w:val="00D50EE8"/>
    <w:rsid w:val="00D57113"/>
    <w:rsid w:val="00E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401F4"/>
  <w15:docId w15:val="{3395AC74-B786-420C-B1C7-AC0EA4C23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2A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C0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1C2A4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4">
    <w:name w:val="annotation reference"/>
    <w:basedOn w:val="a0"/>
    <w:uiPriority w:val="99"/>
    <w:semiHidden/>
    <w:unhideWhenUsed/>
    <w:rsid w:val="00926FF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26FF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26FF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26FF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26FF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26F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26FFB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2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26FFB"/>
  </w:style>
  <w:style w:type="paragraph" w:styleId="ad">
    <w:name w:val="footer"/>
    <w:basedOn w:val="a"/>
    <w:link w:val="ae"/>
    <w:uiPriority w:val="99"/>
    <w:unhideWhenUsed/>
    <w:rsid w:val="00926F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26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94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577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33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12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6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0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5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54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83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7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70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Выпуск продукции кг/месяц</a:t>
            </a:r>
          </a:p>
        </c:rich>
      </c:tx>
      <c:overlay val="0"/>
    </c:title>
    <c:autoTitleDeleted val="0"/>
    <c:plotArea>
      <c:layout/>
      <c:radarChart>
        <c:radarStyle val="fill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2018</c:v>
                </c:pt>
              </c:strCache>
            </c:strRef>
          </c:tx>
          <c:spPr>
            <a:solidFill>
              <a:srgbClr val="FF0000"/>
            </a:solidFill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Лист1!$B$2:$B$13</c:f>
              <c:numCache>
                <c:formatCode>_(* #,##0_);_(* \(#,##0\);_(* "-"??_);_(@_)</c:formatCode>
                <c:ptCount val="12"/>
                <c:pt idx="0">
                  <c:v>4692898.0999999996</c:v>
                </c:pt>
                <c:pt idx="1">
                  <c:v>4241072.5</c:v>
                </c:pt>
                <c:pt idx="2">
                  <c:v>4587772.0999999996</c:v>
                </c:pt>
                <c:pt idx="3">
                  <c:v>4364552.4000000004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FB-4DCB-8391-BEDA4893BE5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2017</c:v>
                </c:pt>
              </c:strCache>
            </c:strRef>
          </c:tx>
          <c:spPr>
            <a:noFill/>
            <a:ln w="28575">
              <a:solidFill>
                <a:srgbClr val="C0000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Лист1!$C$2:$C$13</c:f>
              <c:numCache>
                <c:formatCode>_(* #,##0_);_(* \(#,##0\);_(* "-"??_);_(@_)</c:formatCode>
                <c:ptCount val="12"/>
                <c:pt idx="0">
                  <c:v>5352515.2</c:v>
                </c:pt>
                <c:pt idx="1">
                  <c:v>4773023.9000000004</c:v>
                </c:pt>
                <c:pt idx="2">
                  <c:v>5332335.2</c:v>
                </c:pt>
                <c:pt idx="3">
                  <c:v>4912515</c:v>
                </c:pt>
                <c:pt idx="4">
                  <c:v>4856007</c:v>
                </c:pt>
                <c:pt idx="5">
                  <c:v>4547816.5999999996</c:v>
                </c:pt>
                <c:pt idx="6">
                  <c:v>4493947.9000000004</c:v>
                </c:pt>
                <c:pt idx="7">
                  <c:v>4316811.7</c:v>
                </c:pt>
                <c:pt idx="8">
                  <c:v>4581079.9000000004</c:v>
                </c:pt>
                <c:pt idx="9">
                  <c:v>4907102.3</c:v>
                </c:pt>
                <c:pt idx="10">
                  <c:v>4632376.0999999996</c:v>
                </c:pt>
                <c:pt idx="11">
                  <c:v>4745933.7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FB-4DCB-8391-BEDA4893BE5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2016</c:v>
                </c:pt>
              </c:strCache>
            </c:strRef>
          </c:tx>
          <c:spPr>
            <a:noFill/>
            <a:ln w="28575">
              <a:solidFill>
                <a:srgbClr val="7030A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Лист1!$D$2:$D$13</c:f>
              <c:numCache>
                <c:formatCode>_(* #,##0_);_(* \(#,##0\);_(* "-"??_);_(@_)</c:formatCode>
                <c:ptCount val="12"/>
                <c:pt idx="0">
                  <c:v>5331228.9000000004</c:v>
                </c:pt>
                <c:pt idx="1">
                  <c:v>4940143.5</c:v>
                </c:pt>
                <c:pt idx="2">
                  <c:v>5224437.5999999996</c:v>
                </c:pt>
                <c:pt idx="3">
                  <c:v>5052006.5999999996</c:v>
                </c:pt>
                <c:pt idx="4">
                  <c:v>5076134.5</c:v>
                </c:pt>
                <c:pt idx="5">
                  <c:v>4774151.3</c:v>
                </c:pt>
                <c:pt idx="6">
                  <c:v>4153442.5</c:v>
                </c:pt>
                <c:pt idx="7">
                  <c:v>5277170.7300000004</c:v>
                </c:pt>
                <c:pt idx="8">
                  <c:v>5300201.5999999996</c:v>
                </c:pt>
                <c:pt idx="9">
                  <c:v>5498342.5</c:v>
                </c:pt>
                <c:pt idx="10">
                  <c:v>5342469.99</c:v>
                </c:pt>
                <c:pt idx="11">
                  <c:v>5529366.7999999998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0FB-4DCB-8391-BEDA4893BE5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2015</c:v>
                </c:pt>
              </c:strCache>
            </c:strRef>
          </c:tx>
          <c:spPr>
            <a:noFill/>
            <a:ln w="28575">
              <a:solidFill>
                <a:srgbClr val="00B05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Лист1!$E$2:$E$13</c:f>
              <c:numCache>
                <c:formatCode>_(* #,##0_);_(* \(#,##0\);_(* "-"??_);_(@_)</c:formatCode>
                <c:ptCount val="12"/>
                <c:pt idx="0">
                  <c:v>5595677.7999999998</c:v>
                </c:pt>
                <c:pt idx="1">
                  <c:v>4921822.7</c:v>
                </c:pt>
                <c:pt idx="2">
                  <c:v>5565829</c:v>
                </c:pt>
                <c:pt idx="3">
                  <c:v>5416678</c:v>
                </c:pt>
                <c:pt idx="4">
                  <c:v>5407944</c:v>
                </c:pt>
                <c:pt idx="5">
                  <c:v>4952611.4000000004</c:v>
                </c:pt>
                <c:pt idx="6">
                  <c:v>4950028.7</c:v>
                </c:pt>
                <c:pt idx="7">
                  <c:v>4903325.5999999996</c:v>
                </c:pt>
                <c:pt idx="8">
                  <c:v>5161590.9000000004</c:v>
                </c:pt>
                <c:pt idx="9">
                  <c:v>5525773.2000000002</c:v>
                </c:pt>
                <c:pt idx="10">
                  <c:v>5279667.2</c:v>
                </c:pt>
                <c:pt idx="11">
                  <c:v>5543488.9000000004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0FB-4DCB-8391-BEDA4893BE5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2014</c:v>
                </c:pt>
              </c:strCache>
            </c:strRef>
          </c:tx>
          <c:spPr>
            <a:noFill/>
            <a:ln w="28575">
              <a:solidFill>
                <a:srgbClr val="FFC000"/>
              </a:solidFill>
            </a:ln>
          </c:spPr>
          <c:cat>
            <c:strRef>
              <c:f>Лист1!$A$2:$A$13</c:f>
              <c:strCache>
                <c:ptCount val="12"/>
                <c:pt idx="0">
                  <c:v>январь</c:v>
                </c:pt>
                <c:pt idx="1">
                  <c:v>февраль</c:v>
                </c:pt>
                <c:pt idx="2">
                  <c:v>март</c:v>
                </c:pt>
                <c:pt idx="3">
                  <c:v>апрель</c:v>
                </c:pt>
                <c:pt idx="4">
                  <c:v>май</c:v>
                </c:pt>
                <c:pt idx="5">
                  <c:v>июнь</c:v>
                </c:pt>
                <c:pt idx="6">
                  <c:v>июль</c:v>
                </c:pt>
                <c:pt idx="7">
                  <c:v>август</c:v>
                </c:pt>
                <c:pt idx="8">
                  <c:v>сентябрь</c:v>
                </c:pt>
                <c:pt idx="9">
                  <c:v>октябрь</c:v>
                </c:pt>
                <c:pt idx="10">
                  <c:v>ноябрь</c:v>
                </c:pt>
                <c:pt idx="11">
                  <c:v>декабрь</c:v>
                </c:pt>
              </c:strCache>
            </c:strRef>
          </c:cat>
          <c:val>
            <c:numRef>
              <c:f>Лист1!$F$2:$F$13</c:f>
              <c:numCache>
                <c:formatCode>_(* #,##0_);_(* \(#,##0\);_(* "-"??_);_(@_)</c:formatCode>
                <c:ptCount val="12"/>
                <c:pt idx="0">
                  <c:v>5339916</c:v>
                </c:pt>
                <c:pt idx="1">
                  <c:v>5479351.2000000002</c:v>
                </c:pt>
                <c:pt idx="2">
                  <c:v>5328103.2</c:v>
                </c:pt>
                <c:pt idx="3">
                  <c:v>5247103.4000000004</c:v>
                </c:pt>
                <c:pt idx="4">
                  <c:v>5992512.7000000002</c:v>
                </c:pt>
                <c:pt idx="5">
                  <c:v>5005153</c:v>
                </c:pt>
                <c:pt idx="6">
                  <c:v>4769534.5999999996</c:v>
                </c:pt>
                <c:pt idx="7">
                  <c:v>4955149.9000000004</c:v>
                </c:pt>
                <c:pt idx="8">
                  <c:v>5315232.0999999996</c:v>
                </c:pt>
                <c:pt idx="9">
                  <c:v>5543322.2999999998</c:v>
                </c:pt>
                <c:pt idx="10">
                  <c:v>5326516.2</c:v>
                </c:pt>
                <c:pt idx="11">
                  <c:v>5411962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0FB-4DCB-8391-BEDA4893B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232384"/>
        <c:axId val="45133760"/>
      </c:radarChart>
      <c:catAx>
        <c:axId val="13723238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5133760"/>
        <c:crosses val="autoZero"/>
        <c:auto val="1"/>
        <c:lblAlgn val="ctr"/>
        <c:lblOffset val="100"/>
        <c:noMultiLvlLbl val="0"/>
      </c:catAx>
      <c:valAx>
        <c:axId val="45133760"/>
        <c:scaling>
          <c:orientation val="minMax"/>
          <c:min val="3000000"/>
        </c:scaling>
        <c:delete val="0"/>
        <c:axPos val="l"/>
        <c:majorGridlines/>
        <c:numFmt formatCode="_(* #,##0_);_(* \(#,##0\);_(* &quot;-&quot;??_);_(@_)" sourceLinked="1"/>
        <c:majorTickMark val="cross"/>
        <c:minorTickMark val="none"/>
        <c:tickLblPos val="nextTo"/>
        <c:crossAx val="13723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2FEEF-08A0-45A0-B5FA-3E04219B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10</Pages>
  <Words>1949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"КАРАВАЙ"</Company>
  <LinksUpToDate>false</LinksUpToDate>
  <CharactersWithSpaces>13037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Кузин Алексей Сергеевич</dc:creator>
  <cp:lastModifiedBy>Пользователь Windows</cp:lastModifiedBy>
  <cp:revision>4</cp:revision>
  <dcterms:created xsi:type="dcterms:W3CDTF">2018-06-21T21:22:00Z</dcterms:created>
  <dcterms:modified xsi:type="dcterms:W3CDTF">2018-06-21T23:10:00Z</dcterms:modified>
</cp:coreProperties>
</file>