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Сингулярные значения являются кластеризованными (находящимися близко друг к другу), если для них выполняется следующее неравенство:</w:t>
      </w:r>
    </w:p>
    <w:p w:rsidR="00000000" w:rsidDel="00000000" w:rsidP="00000000" w:rsidRDefault="00000000" w:rsidRPr="00000000" w14:paraId="00000003">
      <w:pPr>
        <w:jc w:val="center"/>
        <w:rPr/>
      </w:pPr>
      <m:oMath>
        <m:r>
          <m:t>ε</m:t>
        </m:r>
        <m:r>
          <m:t>≥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i+1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30m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m:t>ε</m:t>
        </m:r>
        <m:r>
          <w:rPr>
            <w:rFonts w:ascii="Cambria Math" w:cs="Cambria Math" w:eastAsia="Cambria Math" w:hAnsi="Cambria Math"/>
          </w:rPr>
          <m:t xml:space="preserve">≔max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(|</m:t>
            </m:r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2, 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G</m:t>
                    </m:r>
                  </m:e>
                </m:d>
              </m:e>
            </m:d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)⁡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</w:rPr>
          <m:t xml:space="preserve">F</m:t>
        </m:r>
        <m:r>
          <w:rPr>
            <w:rFonts w:ascii="Cambria Math" w:cs="Cambria Math" w:eastAsia="Cambria Math" w:hAnsi="Cambria Math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  <m:r>
              <w:rPr>
                <w:rFonts w:ascii="Cambria Math" w:cs="Cambria Math" w:eastAsia="Cambria Math" w:hAnsi="Cambria Math"/>
              </w:rPr>
              <m:t>×</m:t>
            </m:r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G</m:t>
        </m:r>
        <m:r>
          <w:rPr>
            <w:rFonts w:ascii="Cambria Math" w:cs="Cambria Math" w:eastAsia="Cambria Math" w:hAnsi="Cambria Math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  <m:r>
              <w:rPr>
                <w:rFonts w:ascii="Cambria Math" w:cs="Cambria Math" w:eastAsia="Cambria Math" w:hAnsi="Cambria Math"/>
              </w:rPr>
              <m:t>×</m:t>
            </m:r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 – матрицы ошибок</m:t>
        </m:r>
      </m:oMath>
      <w:r w:rsidDel="00000000" w:rsidR="00000000" w:rsidRPr="00000000">
        <w:rPr>
          <w:rtl w:val="0"/>
        </w:rPr>
        <w:t xml:space="preserve"> и для них выполнены следующие соотношения: </w:t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U=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+F</m:t>
            </m:r>
          </m:e>
        </m:d>
        <m:r>
          <w:rPr>
            <w:rFonts w:ascii="Cambria Math" w:cs="Cambria Math" w:eastAsia="Cambria Math" w:hAnsi="Cambria Math"/>
          </w:rPr>
          <m:t xml:space="preserve"> и V=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+G)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– единичные матрицы размера </w:t>
      </w:r>
      <m:oMath>
        <m:r>
          <w:rPr>
            <w:rFonts w:ascii="Cambria Math" w:cs="Cambria Math" w:eastAsia="Cambria Math" w:hAnsi="Cambria Math"/>
          </w:rPr>
          <m:t xml:space="preserve">n</m:t>
        </m:r>
        <m:r>
          <w:rPr>
            <w:rFonts w:ascii="Cambria Math" w:cs="Cambria Math" w:eastAsia="Cambria Math" w:hAnsi="Cambria Math"/>
          </w:rPr>
          <m:t>×</m:t>
        </m:r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и </w:t>
      </w:r>
      <m:oMath>
        <m:r>
          <w:rPr>
            <w:rFonts w:ascii="Cambria Math" w:cs="Cambria Math" w:eastAsia="Cambria Math" w:hAnsi="Cambria Math"/>
          </w:rPr>
          <m:t xml:space="preserve">m</m:t>
        </m:r>
        <m:r>
          <w:rPr>
            <w:rFonts w:ascii="Cambria Math" w:cs="Cambria Math" w:eastAsia="Cambria Math" w:hAnsi="Cambria Math"/>
          </w:rPr>
          <m:t>×</m:t>
        </m:r>
        <m:r>
          <w:rPr>
            <w:rFonts w:ascii="Cambria Math" w:cs="Cambria Math" w:eastAsia="Cambria Math" w:hAnsi="Cambria Math"/>
          </w:rPr>
          <m:t xml:space="preserve">m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соответственно</w:t>
      </w:r>
    </w:p>
    <w:p w:rsidR="00000000" w:rsidDel="00000000" w:rsidP="00000000" w:rsidRDefault="00000000" w:rsidRPr="00000000" w14:paraId="00000008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i+1</m:t>
            </m:r>
          </m:sub>
        </m:sSub>
      </m:oMath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–</w:t>
      </w:r>
      <w:r w:rsidDel="00000000" w:rsidR="00000000" w:rsidRPr="00000000">
        <w:rPr>
          <w:sz w:val="22"/>
          <w:szCs w:val="22"/>
          <w:rtl w:val="0"/>
        </w:rPr>
        <w:t xml:space="preserve"> сингулярные значения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|</m:t>
            </m:r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2"/>
            <w:szCs w:val="22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m – </w:t>
      </w:r>
      <w:r w:rsidDel="00000000" w:rsidR="00000000" w:rsidRPr="00000000">
        <w:rPr>
          <w:sz w:val="22"/>
          <w:szCs w:val="22"/>
          <w:rtl w:val="0"/>
        </w:rPr>
        <w:t xml:space="preserve">размерность матрицы</w:t>
      </w:r>
      <w:r w:rsidDel="00000000" w:rsidR="00000000" w:rsidRPr="00000000">
        <w:rPr>
          <w:i w:val="1"/>
          <w:sz w:val="22"/>
          <w:szCs w:val="22"/>
          <w:rtl w:val="0"/>
        </w:rPr>
        <w:t xml:space="preserve"> F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описанным выше случае алгоритм Iterative Refinement не работает корректно.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