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ind w:left="-566" w:hanging="0"/>
        <w:jc w:val="center"/>
        <w:rPr>
          <w:rFonts w:ascii="Arial" w:hAnsi="Arial" w:eastAsia="Arial" w:cs="Arial"/>
          <w:b/>
          <w:b/>
          <w:sz w:val="22"/>
          <w:szCs w:val="22"/>
        </w:rPr>
      </w:pPr>
      <w:r>
        <w:rPr>
          <w:rFonts w:eastAsia="Arial" w:cs="Arial" w:ascii="Arial" w:hAnsi="Arial"/>
          <w:b/>
          <w:sz w:val="22"/>
          <w:szCs w:val="22"/>
        </w:rPr>
        <w:t>Договор-оферта на оказание услуг</w:t>
      </w:r>
    </w:p>
    <w:p>
      <w:pPr>
        <w:pStyle w:val="Normal"/>
        <w:keepNext w:val="false"/>
        <w:keepLines w:val="false"/>
        <w:pageBreakBefore w:val="false"/>
        <w:widowControl/>
        <w:shd w:val="clear" w:fill="auto"/>
        <w:spacing w:lineRule="auto" w:line="276" w:before="0" w:after="120"/>
        <w:ind w:left="-566" w:right="0" w:hanging="0"/>
        <w:jc w:val="left"/>
        <w:rPr/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Настоящее предложение является публичной офертой, адресованной любому лицу, заинтересованному в получении услуг, предоставляемых Исполнителем с помощью платформы </w:t>
      </w:r>
      <w:r>
        <w:rPr>
          <w:rFonts w:eastAsia="Arial" w:cs="Arial" w:ascii="Arial" w:hAnsi="Arial"/>
          <w:sz w:val="22"/>
          <w:szCs w:val="22"/>
        </w:rPr>
        <w:t>Harmex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 (далее – «</w:t>
      </w: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Платформа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»), расположенной по адресу: </w:t>
      </w:r>
      <w:hyperlink r:id="rId2">
        <w:r>
          <w:rPr>
            <w:rStyle w:val="ListLabel1"/>
            <w:rFonts w:eastAsia="Arial" w:cs="Arial" w:ascii="Arial" w:hAnsi="Arial"/>
            <w:color w:val="0000FF"/>
            <w:sz w:val="22"/>
            <w:szCs w:val="22"/>
            <w:u w:val="single"/>
          </w:rPr>
          <w:t>www.harmex.ru</w:t>
        </w:r>
      </w:hyperlink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 заключить договор (далее - «</w:t>
      </w: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Договор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») между 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и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сполнителем Платформы </w:t>
      </w:r>
      <w:r>
        <w:rPr>
          <w:rFonts w:eastAsia="Arial" w:cs="Arial" w:ascii="Arial" w:hAnsi="Arial"/>
          <w:sz w:val="22"/>
          <w:szCs w:val="22"/>
        </w:rPr>
        <w:t>Индивидуальный предприниматель Балашов Андрей Эдуардович (ИНН: 644651000810, ОГРНИП: 323645700117862)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 (далее – «</w:t>
      </w: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Исполнитель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»), на указанных ниже условиях.</w:t>
      </w:r>
    </w:p>
    <w:p>
      <w:pPr>
        <w:pStyle w:val="Normal"/>
        <w:keepNext w:val="false"/>
        <w:keepLines w:val="false"/>
        <w:pageBreakBefore w:val="false"/>
        <w:widowControl/>
        <w:shd w:val="clear" w:fill="auto"/>
        <w:spacing w:lineRule="auto" w:line="276" w:before="0" w:after="120"/>
        <w:ind w:left="-566" w:right="0" w:hanging="0"/>
        <w:jc w:val="left"/>
        <w:rPr/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Безусловным принятием (акцептом) условий настоящего Договора считается регистрация на веб-сайт</w:t>
      </w:r>
      <w:r>
        <w:rPr>
          <w:rFonts w:eastAsia="Arial" w:cs="Arial" w:ascii="Arial" w:hAnsi="Arial"/>
          <w:sz w:val="22"/>
          <w:szCs w:val="22"/>
        </w:rPr>
        <w:t xml:space="preserve">е </w:t>
      </w:r>
      <w:hyperlink r:id="rId3">
        <w:r>
          <w:rPr>
            <w:rStyle w:val="ListLabel1"/>
            <w:rFonts w:eastAsia="Arial" w:cs="Arial" w:ascii="Arial" w:hAnsi="Arial"/>
            <w:color w:val="0000FF"/>
            <w:sz w:val="22"/>
            <w:szCs w:val="22"/>
            <w:u w:val="single"/>
          </w:rPr>
          <w:t>www.harmex.ru</w:t>
        </w:r>
      </w:hyperlink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 и любые последующие действия по использованию Платформы. Акцепт настоящего Договора на иных условиях, отличных от тех, что указаны в настоящем Договоре, либо акцепт под условием, не допускается.</w:t>
      </w:r>
    </w:p>
    <w:p>
      <w:pPr>
        <w:pStyle w:val="Normal"/>
        <w:keepNext w:val="false"/>
        <w:keepLines w:val="false"/>
        <w:pageBreakBefore w:val="false"/>
        <w:widowControl/>
        <w:shd w:val="clear" w:fill="auto"/>
        <w:spacing w:lineRule="auto" w:line="276" w:before="0" w:after="12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u w:val="none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Лицо, прошедшее процедуру регистрации на Платформе, именуется в дальнейшем «</w:t>
      </w: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Пользователь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», Исполнитель и Пользователь совместно именуются «</w:t>
      </w: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Стороны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», а каждый из них отдельно – «</w:t>
      </w: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Сторона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».</w:t>
      </w:r>
    </w:p>
    <w:p>
      <w:pPr>
        <w:pStyle w:val="Normal"/>
        <w:ind w:left="-566" w:hanging="0"/>
        <w:jc w:val="center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-566" w:right="0" w:hanging="0"/>
        <w:jc w:val="center"/>
        <w:rPr>
          <w:rFonts w:ascii="Arial" w:hAnsi="Arial" w:eastAsia="Arial" w:cs="Arial"/>
          <w:b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Термины и определения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Платформа </w:t>
      </w:r>
      <w:r>
        <w:rPr>
          <w:rFonts w:eastAsia="Arial" w:cs="Arial" w:ascii="Arial" w:hAnsi="Arial"/>
          <w:sz w:val="22"/>
          <w:szCs w:val="22"/>
        </w:rPr>
        <w:t>Harmex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 является автоматизированным онлайн-сервисом для </w:t>
      </w:r>
      <w:r>
        <w:rPr>
          <w:rFonts w:eastAsia="Arial" w:cs="Arial" w:ascii="Arial" w:hAnsi="Arial"/>
          <w:sz w:val="22"/>
          <w:szCs w:val="22"/>
        </w:rPr>
        <w:t>владельцев магазинов, менеджеров, производителей, онлайн-школ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 </w:t>
      </w:r>
      <w:r>
        <w:rPr>
          <w:rFonts w:eastAsia="Arial" w:cs="Arial" w:ascii="Arial" w:hAnsi="Arial"/>
          <w:sz w:val="22"/>
          <w:szCs w:val="22"/>
        </w:rPr>
        <w:t>и сервисных компаний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, предоставляющим инструменты для повышения рейтинга </w:t>
      </w:r>
      <w:r>
        <w:rPr>
          <w:rFonts w:eastAsia="Arial" w:cs="Arial" w:ascii="Arial" w:hAnsi="Arial"/>
          <w:sz w:val="22"/>
          <w:szCs w:val="22"/>
        </w:rPr>
        <w:t xml:space="preserve">карточек на маркетплейсах и интернет-магазинах. 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Основным инструментом Платформы </w:t>
      </w:r>
      <w:r>
        <w:rPr>
          <w:rFonts w:eastAsia="Arial" w:cs="Arial" w:ascii="Arial" w:hAnsi="Arial"/>
          <w:sz w:val="22"/>
          <w:szCs w:val="22"/>
        </w:rPr>
        <w:t>Harmex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 являются цифровые личности, которые </w:t>
      </w:r>
      <w:r>
        <w:rPr>
          <w:rFonts w:eastAsia="Arial" w:cs="Arial" w:ascii="Arial" w:hAnsi="Arial"/>
          <w:sz w:val="22"/>
          <w:szCs w:val="22"/>
        </w:rPr>
        <w:t>регулярно проводят поведенческую активность на маркетплейсах, интернет-магазинах и умеют находить товары, изучать карточки, добавлять в корзину, заказывать, оплачивать, оставлять отзывы и вопросы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.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Цифровые личности – это аудитория, созданная с помощью искусственного интеллекта, и используемая для </w:t>
      </w:r>
      <w:r>
        <w:rPr>
          <w:rFonts w:eastAsia="Arial" w:cs="Arial" w:ascii="Arial" w:hAnsi="Arial"/>
          <w:sz w:val="22"/>
          <w:szCs w:val="22"/>
        </w:rPr>
        <w:t xml:space="preserve">управления репутацией на маркетплейсах и интернет-магазинах. 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Персональный кошелек – раздел личного кабинета Пользователя на Платформе, с помощью которого Пользователь оплачивает услуги Исполнителя. Баланс Персонального кошелька Пользователь пополняет способами, доступными на Платформе.</w:t>
      </w:r>
    </w:p>
    <w:p>
      <w:pPr>
        <w:pStyle w:val="Normal"/>
        <w:keepNext w:val="false"/>
        <w:keepLines w:val="false"/>
        <w:pageBreakBefore w:val="false"/>
        <w:widowControl/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vertAlign w:val="baseline"/>
        </w:rPr>
      </w:r>
    </w:p>
    <w:p>
      <w:pPr>
        <w:pStyle w:val="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-566" w:right="0" w:hanging="0"/>
        <w:jc w:val="center"/>
        <w:rPr>
          <w:rFonts w:ascii="Arial" w:hAnsi="Arial" w:eastAsia="Arial" w:cs="Arial"/>
          <w:b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Предмет Договора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Исполнитель оказывает Пользователю услуги по </w:t>
      </w:r>
      <w:r>
        <w:rPr>
          <w:rFonts w:eastAsia="Arial" w:cs="Arial" w:ascii="Arial" w:hAnsi="Arial"/>
          <w:sz w:val="22"/>
          <w:szCs w:val="22"/>
        </w:rPr>
        <w:t>продвижению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 репутации</w:t>
      </w:r>
      <w:r>
        <w:rPr>
          <w:rFonts w:eastAsia="Arial" w:cs="Arial" w:ascii="Arial" w:hAnsi="Arial"/>
          <w:sz w:val="22"/>
          <w:szCs w:val="22"/>
        </w:rPr>
        <w:t xml:space="preserve"> на маркетплейсах и интернет-магазинах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, выбранн</w:t>
      </w:r>
      <w:r>
        <w:rPr>
          <w:rFonts w:eastAsia="Arial" w:cs="Arial" w:ascii="Arial" w:hAnsi="Arial"/>
          <w:sz w:val="22"/>
          <w:szCs w:val="22"/>
        </w:rPr>
        <w:t>ых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 Пользователем, с помощью каталога Платформы и Цифровых личностей, а Пользователь оплачивает услугу с помощью своего Персонального кошелька. Объем, включая количество привлекаемых Цифровых личностей, </w:t>
      </w:r>
      <w:r>
        <w:rPr>
          <w:rFonts w:eastAsia="Arial" w:cs="Arial" w:ascii="Arial" w:hAnsi="Arial"/>
          <w:sz w:val="22"/>
          <w:szCs w:val="22"/>
        </w:rPr>
        <w:t>заказов, отзывов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, реакций, а также стоимость услуг указывается на Платформе в разделе </w:t>
      </w:r>
      <w:r>
        <w:rPr>
          <w:rFonts w:eastAsia="Arial" w:cs="Arial" w:ascii="Arial" w:hAnsi="Arial"/>
          <w:sz w:val="22"/>
          <w:szCs w:val="22"/>
        </w:rPr>
        <w:t>Каталог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 и доступны Пользователю для выбора и оплаты в Личном кабинете.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Пользователь, оплачивая услугу, соглашается, что в случае принятия решения Пользователем отказаться от услуги, Исполнитель вправе вернуть денежные средства на баланс Персонального кошелька Пользователя за вычетом расходов, потраченных на развертывание и обеспечение соответствующей инфраструктуры на соответствующий срок до 14</w:t>
      </w:r>
      <w:r>
        <w:rPr>
          <w:rFonts w:eastAsia="Arial" w:cs="Arial" w:ascii="Arial" w:hAnsi="Arial"/>
          <w:sz w:val="22"/>
          <w:szCs w:val="22"/>
        </w:rPr>
        <w:t xml:space="preserve"> дней с момента получения денежных средств в качестве возврата отмененного заказа на маркетплейсе.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Пользователь может осуществлять оплату услуг как с помощью дебетовой или кредитной карты физического лица, так и с помощью корпоративной карты юридического лица или индивидуального предпринимателя, а так же переводить </w:t>
      </w:r>
      <w:r>
        <w:rPr>
          <w:rFonts w:eastAsia="Arial" w:cs="Arial" w:ascii="Arial" w:hAnsi="Arial"/>
          <w:sz w:val="22"/>
          <w:szCs w:val="22"/>
        </w:rPr>
        <w:t>на расчетный счет Исполнителя при выставляемом счете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. 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Срок действия настоящей оферты: бессрочно, если в настоящую публичную оферту не внесены изменения или не Исполнителем не размещена новая оферта на Платформе. В случае внесения изменений в настоящую оферту или принятия новой оферты такие изменения или новая оферта вступают в силу с даты размещения на Платформе.</w:t>
      </w:r>
    </w:p>
    <w:p>
      <w:pPr>
        <w:pStyle w:val="Normal"/>
        <w:keepNext w:val="false"/>
        <w:keepLines w:val="false"/>
        <w:pageBreakBefore w:val="false"/>
        <w:widowControl/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Пользователь обязан самостоятельно отслеживать такие изменения и обязан ознакомиться с такими изменениями или новой офертой. Пользователь выражает свое согласие и акцепт таких изменений или новой оферты путем продолжения пользования Платформой и оплаты услуг, начиная с даты размещения таких изменений или новой оферты на Платформе. </w:t>
      </w:r>
    </w:p>
    <w:p>
      <w:pPr>
        <w:pStyle w:val="Normal"/>
        <w:keepNext w:val="false"/>
        <w:keepLines w:val="false"/>
        <w:pageBreakBefore w:val="false"/>
        <w:widowControl/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vertAlign w:val="baseline"/>
        </w:rPr>
      </w:r>
    </w:p>
    <w:p>
      <w:pPr>
        <w:pStyle w:val="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-566" w:right="0" w:hanging="0"/>
        <w:jc w:val="center"/>
        <w:rPr>
          <w:rFonts w:ascii="Arial" w:hAnsi="Arial" w:eastAsia="Arial" w:cs="Arial"/>
          <w:b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Качество оказания услуги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Исполнитель гарантирует, что услуга будет оказана в том виде, в котором она будет описана при ее покупке и последующей активации.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Исполнитель не несет ответственности за то, что в результате оказания услуг </w:t>
      </w:r>
      <w:r>
        <w:rPr>
          <w:rFonts w:eastAsia="Arial" w:cs="Arial" w:ascii="Arial" w:hAnsi="Arial"/>
          <w:sz w:val="22"/>
          <w:szCs w:val="22"/>
        </w:rPr>
        <w:t>могут быть технические сбои в работе сторонних площадок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, так как данные результаты </w:t>
      </w:r>
      <w:r>
        <w:rPr>
          <w:rFonts w:eastAsia="Arial" w:cs="Arial" w:ascii="Arial" w:hAnsi="Arial"/>
          <w:sz w:val="22"/>
          <w:szCs w:val="22"/>
        </w:rPr>
        <w:t>зависят, в том числе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 от действий самого Пользователя, его информации по </w:t>
      </w:r>
      <w:r>
        <w:rPr>
          <w:rFonts w:eastAsia="Arial" w:cs="Arial" w:ascii="Arial" w:hAnsi="Arial"/>
          <w:sz w:val="22"/>
          <w:szCs w:val="22"/>
        </w:rPr>
        <w:t xml:space="preserve">заказу 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и иных факторов, на которые Исполнитель не влияет. </w:t>
      </w:r>
    </w:p>
    <w:p>
      <w:pPr>
        <w:pStyle w:val="Normal"/>
        <w:keepNext w:val="false"/>
        <w:keepLines w:val="false"/>
        <w:pageBreakBefore w:val="false"/>
        <w:widowControl/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vertAlign w:val="baseline"/>
        </w:rPr>
      </w:r>
    </w:p>
    <w:p>
      <w:pPr>
        <w:pStyle w:val="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-566" w:right="0" w:hanging="0"/>
        <w:jc w:val="center"/>
        <w:rPr>
          <w:rFonts w:ascii="Arial" w:hAnsi="Arial" w:eastAsia="Arial" w:cs="Arial"/>
          <w:b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Регистрация и авторизация на сайте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Для использования функций Платформы Пользователь регистрируется, создавая личный кабинет, где может пополнять баланс, просматривать историю операций и заказов, связываться с поддержкой и изменять личные данные. При регистрации Пользователь указывает свои персональные данные и обязуется предоставить достоверную информацию. Данные обрабатываются Исполнителем в соответствии с политикой конфиденциальности. 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Регистрация на сайте означает полный и безоговорочный акцепт настоящей публичной оферты.</w:t>
      </w:r>
    </w:p>
    <w:p>
      <w:pPr>
        <w:pStyle w:val="Normal"/>
        <w:keepNext w:val="false"/>
        <w:keepLines w:val="false"/>
        <w:pageBreakBefore w:val="false"/>
        <w:widowControl/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vertAlign w:val="baseline"/>
        </w:rPr>
      </w:r>
    </w:p>
    <w:p>
      <w:pPr>
        <w:pStyle w:val="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-566" w:right="0" w:hanging="0"/>
        <w:jc w:val="center"/>
        <w:rPr>
          <w:rFonts w:ascii="Arial" w:hAnsi="Arial" w:eastAsia="Arial" w:cs="Arial"/>
          <w:b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Партнерская программа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Каждый Пользователь может участвовать в партнерской программе Исполнителя.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Пользователь участвует в партнерской программе с помощью соответствующего уникального кода, доступного в личном кабинете Пользователя.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Вознаграждение пользователя </w:t>
      </w:r>
      <w:r>
        <w:rPr>
          <w:rFonts w:eastAsia="Arial" w:cs="Arial" w:ascii="Arial" w:hAnsi="Arial"/>
          <w:sz w:val="22"/>
          <w:szCs w:val="22"/>
        </w:rPr>
        <w:t xml:space="preserve">указано в меню Финансы 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за каждого нового пользователя, использовавшего уникальный код или уникальную реферальную ссылку Пользователя при регистрации и последующей оплате услуг, при условии активации оплаченных услуг.</w:t>
      </w:r>
    </w:p>
    <w:p>
      <w:pPr>
        <w:pStyle w:val="Normal"/>
        <w:keepNext w:val="false"/>
        <w:keepLines w:val="false"/>
        <w:pageBreakBefore w:val="false"/>
        <w:widowControl/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vertAlign w:val="baseline"/>
        </w:rPr>
      </w:r>
    </w:p>
    <w:p>
      <w:pPr>
        <w:pStyle w:val="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-566" w:right="0" w:hanging="0"/>
        <w:jc w:val="center"/>
        <w:rPr>
          <w:rFonts w:ascii="Arial" w:hAnsi="Arial" w:eastAsia="Arial" w:cs="Arial"/>
          <w:b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Интеллектуальная собственность и ограничения при использовании Платформы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 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Используя материалы Исполнителя, а также используя Платформу, Пользователь признает и соглашается с тем, что все содержимое Платформы, алгоритмы, дизайн, логотипы, контент и структура содержимого Платформы защищены авторским правом, правом на товарный знак и другими правами на результаты интеллектуальной деятельности и что указанные права являются действительными и охраняются во всех формах, на всех носителях и в отношении всех технологий, как существующих в настоящее время, так и разработанных или созданных впоследствии. Никакие права на любое содержимое материалов и Платформы, принадлежащих Исполнителю, включая, помимо прочего, аудиовизуальные произведения, текстовые и графические материалы, программы для ЭВМ, товарные знаки не переходят к Пользователю в результате пользования материалами и Платформой и заключения Договора.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Пользователю запрещается копировать, модифицировать, изменять, удалять, дополнять, публиковать, передавать какую-либо информацию, полученную на Платформе, кроме случаев, когда такая функция прямо предусмотрена на Платформе.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Пользователю запрещается:</w:t>
      </w:r>
    </w:p>
    <w:p>
      <w:pPr>
        <w:pStyle w:val="Normal"/>
        <w:keepNext w:val="false"/>
        <w:keepLines w:val="false"/>
        <w:pageBreakBefore w:val="false"/>
        <w:widowControl/>
        <w:numPr>
          <w:ilvl w:val="2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копировать либо иным способом использовать программную часть Платформы, а также ее дизайн.</w:t>
      </w:r>
    </w:p>
    <w:p>
      <w:pPr>
        <w:pStyle w:val="Normal"/>
        <w:keepNext w:val="false"/>
        <w:keepLines w:val="false"/>
        <w:pageBreakBefore w:val="false"/>
        <w:widowControl/>
        <w:numPr>
          <w:ilvl w:val="2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использовать персональные данные третьих лиц на Платформе, без их согласия, в том числе домашние адреса, телефоны, паспортные данные, адреса электронной почты.</w:t>
      </w:r>
    </w:p>
    <w:p>
      <w:pPr>
        <w:pStyle w:val="Normal"/>
        <w:keepNext w:val="false"/>
        <w:keepLines w:val="false"/>
        <w:pageBreakBefore w:val="false"/>
        <w:widowControl/>
        <w:numPr>
          <w:ilvl w:val="2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изменять каким бы то ни было способом программную часть Платформы, совершать действия, направленные на изменение функционирования и работоспособности Платформы.</w:t>
      </w:r>
    </w:p>
    <w:p>
      <w:pPr>
        <w:pStyle w:val="Normal"/>
        <w:keepNext w:val="false"/>
        <w:keepLines w:val="false"/>
        <w:pageBreakBefore w:val="false"/>
        <w:widowControl/>
        <w:numPr>
          <w:ilvl w:val="2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использовать Платформу для увеличения активности контента, нарушающего исключительные права третьих лиц.</w:t>
      </w:r>
    </w:p>
    <w:p>
      <w:pPr>
        <w:pStyle w:val="Normal"/>
        <w:keepNext w:val="false"/>
        <w:keepLines w:val="false"/>
        <w:pageBreakBefore w:val="false"/>
        <w:widowControl/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vertAlign w:val="baseline"/>
        </w:rPr>
      </w:r>
    </w:p>
    <w:p>
      <w:pPr>
        <w:pStyle w:val="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-566" w:right="0" w:hanging="0"/>
        <w:jc w:val="center"/>
        <w:rPr>
          <w:rFonts w:ascii="Arial" w:hAnsi="Arial" w:eastAsia="Arial" w:cs="Arial"/>
          <w:b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Права и обязанности Сторон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Исполнитель имеет право:</w:t>
      </w:r>
    </w:p>
    <w:p>
      <w:pPr>
        <w:pStyle w:val="Normal"/>
        <w:keepNext w:val="false"/>
        <w:keepLines w:val="false"/>
        <w:pageBreakBefore w:val="false"/>
        <w:widowControl/>
        <w:numPr>
          <w:ilvl w:val="2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Исполнитель вправе в одностороннем порядке время от времени вносить изменения в настоящий Договор. Текст измененного Договора будет доступен на сайте Платформы. Пользователь обязан самостоятельно проверять условия таких изменений. При совершении действий по использованию Платформы после внесения изменений в Договор и их опубликования на сайте Платформы, Пользователь подтверждает согласие с такими изменениями Договора. </w:t>
      </w:r>
    </w:p>
    <w:p>
      <w:pPr>
        <w:pStyle w:val="Normal"/>
        <w:keepNext w:val="false"/>
        <w:keepLines w:val="false"/>
        <w:pageBreakBefore w:val="false"/>
        <w:widowControl/>
        <w:numPr>
          <w:ilvl w:val="2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Отказать Пользователю в оказании услуг, в том числе путем блокировки, если Исполнитель посчитает, что Пользователь нарушает, намеревается нарушить или допускает нарушение законодательства РФ в любой его части, в том числе посягает на права и законные интересы других лиц. </w:t>
      </w:r>
    </w:p>
    <w:p>
      <w:pPr>
        <w:pStyle w:val="Normal"/>
        <w:keepNext w:val="false"/>
        <w:keepLines w:val="false"/>
        <w:pageBreakBefore w:val="false"/>
        <w:widowControl/>
        <w:numPr>
          <w:ilvl w:val="2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Пользователь обязуется: </w:t>
      </w:r>
    </w:p>
    <w:p>
      <w:pPr>
        <w:pStyle w:val="Normal"/>
        <w:keepNext w:val="false"/>
        <w:keepLines w:val="false"/>
        <w:pageBreakBefore w:val="false"/>
        <w:widowControl/>
        <w:numPr>
          <w:ilvl w:val="3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соблюдать условия настоящего Договора, с вносимыми время от время изменениями, а в случае несогласия с такими изменениями прекратить использование Платформы.</w:t>
      </w:r>
    </w:p>
    <w:p>
      <w:pPr>
        <w:pStyle w:val="Normal"/>
        <w:keepNext w:val="false"/>
        <w:keepLines w:val="false"/>
        <w:pageBreakBefore w:val="false"/>
        <w:widowControl/>
        <w:numPr>
          <w:ilvl w:val="3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соблюдать законодательство РФ или иной применимой юрисдикции при использовании Платформы.</w:t>
      </w:r>
    </w:p>
    <w:p>
      <w:pPr>
        <w:pStyle w:val="Normal"/>
        <w:keepNext w:val="false"/>
        <w:keepLines w:val="false"/>
        <w:pageBreakBefore w:val="false"/>
        <w:widowControl/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vertAlign w:val="baseline"/>
        </w:rPr>
      </w:r>
    </w:p>
    <w:p>
      <w:pPr>
        <w:pStyle w:val="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-566" w:right="0" w:hanging="0"/>
        <w:jc w:val="center"/>
        <w:rPr>
          <w:rFonts w:ascii="Arial" w:hAnsi="Arial" w:eastAsia="Arial" w:cs="Arial"/>
          <w:b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Ограничение ответственности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Исполнитель не несет ответственности за сбои в работе, вызванные третьими лицами (сбои интернета, технические проблемы на стороне платформ, интегрированных с Платформой), а также за действия любых иных третьих лиц.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Исполнитель не несет ответственности в случае блокировки аккаунта, канала, удаления постов и иных ограничений, применяемых администрацией </w:t>
      </w:r>
      <w:r>
        <w:rPr>
          <w:rFonts w:eastAsia="Arial" w:cs="Arial" w:ascii="Arial" w:hAnsi="Arial"/>
          <w:sz w:val="22"/>
          <w:szCs w:val="22"/>
        </w:rPr>
        <w:t>маркетплейсов и интернет-магазинов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.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Пользователь подтверждает, что будет использовать Платформу только для тех</w:t>
      </w:r>
      <w:r>
        <w:rPr>
          <w:rFonts w:eastAsia="Arial" w:cs="Arial" w:ascii="Arial" w:hAnsi="Arial"/>
          <w:sz w:val="22"/>
          <w:szCs w:val="22"/>
        </w:rPr>
        <w:t xml:space="preserve"> магазинов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, владельцем которых он является, или им получено согласие в письменном виде от владельца </w:t>
      </w:r>
      <w:r>
        <w:rPr>
          <w:rFonts w:eastAsia="Arial" w:cs="Arial" w:ascii="Arial" w:hAnsi="Arial"/>
          <w:sz w:val="22"/>
          <w:szCs w:val="22"/>
        </w:rPr>
        <w:t>магазина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 для оказания услуг с помощью Платформы в отношении такого канала.</w:t>
      </w:r>
    </w:p>
    <w:p>
      <w:pPr>
        <w:pStyle w:val="Normal"/>
        <w:keepNext w:val="false"/>
        <w:keepLines w:val="false"/>
        <w:pageBreakBefore w:val="false"/>
        <w:widowControl/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vertAlign w:val="baseline"/>
        </w:rPr>
      </w:r>
    </w:p>
    <w:p>
      <w:pPr>
        <w:pStyle w:val="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-566" w:right="0" w:hanging="0"/>
        <w:jc w:val="center"/>
        <w:rPr>
          <w:rFonts w:ascii="Arial" w:hAnsi="Arial" w:eastAsia="Arial" w:cs="Arial"/>
          <w:b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Применимое право и разрешение споров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Настоящие Договор и отношения, возникающие между Сторонами, регулируются законодательством Российской Федерации.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Все возможные споры, вытекающие из отношений, регулируемых настоящим Договором, разрешаются в досудебном порядке. 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В случае, если разрешить спор и разногласия не удалось, Сторона имеет право направить спор на рассмотрение в суд по месту нахождения Исполнителя.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Услуги, оказываемые Исполнителем с помощью Платформы, предназначены для юридических и физических лиц для целей, не связанных с личными, семейными, домашними и иными нуждами. Использование Платформы не регулируется законом Российской Федерации от 07.02.1992 N 2300-1 «О защите прав потребителей». Физические лица, пользующиеся Платформой, не являются потребителями, как это определено вышеуказанным законом.</w:t>
      </w:r>
    </w:p>
    <w:p>
      <w:pPr>
        <w:pStyle w:val="Normal"/>
        <w:keepNext w:val="false"/>
        <w:keepLines w:val="false"/>
        <w:pageBreakBefore w:val="false"/>
        <w:widowControl/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vertAlign w:val="baseline"/>
        </w:rPr>
      </w:r>
    </w:p>
    <w:p>
      <w:pPr>
        <w:pStyle w:val="Normal"/>
        <w:keepNext w:val="false"/>
        <w:keepLines w:val="false"/>
        <w:pageBreakBefore w:val="false"/>
        <w:widowControl/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vertAlign w:val="baseline"/>
        </w:rPr>
      </w:r>
    </w:p>
    <w:p>
      <w:pPr>
        <w:pStyle w:val="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-566" w:right="0" w:hanging="0"/>
        <w:jc w:val="center"/>
        <w:rPr>
          <w:rFonts w:ascii="Arial" w:hAnsi="Arial" w:eastAsia="Arial" w:cs="Arial"/>
          <w:b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Интеграция с третьими лицами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Исполнитель может интегрировать работу Платформы с сервисами третьих лиц, но не несет ответственности за их сбои в работе или нарушения.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Пользователь обязуется соблюдать правила использования сторонних сервисов, которые используются для интеграции.</w:t>
      </w:r>
    </w:p>
    <w:p>
      <w:pPr>
        <w:pStyle w:val="Normal"/>
        <w:keepNext w:val="false"/>
        <w:keepLines w:val="false"/>
        <w:pageBreakBefore w:val="false"/>
        <w:widowControl/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vertAlign w:val="baseline"/>
        </w:rPr>
      </w:r>
    </w:p>
    <w:p>
      <w:pPr>
        <w:pStyle w:val="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-566" w:right="0" w:hanging="0"/>
        <w:jc w:val="center"/>
        <w:rPr>
          <w:rFonts w:ascii="Arial" w:hAnsi="Arial" w:eastAsia="Arial" w:cs="Arial"/>
          <w:b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Уведомления и рассылки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Пользователи дают согласие на получение уведомлений и информационных сообщений от Исполнителя как на Платформе, так и используя контактные данные Пользователя, указанные при регистрации на Платформе.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Пользователи имеют право отказаться от получения уведомлений и информационных сообщений от Исполнителя, за исключением критически важных уведомлений.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Стороны признают юридическую силу текстов уведомлений и сообщений, направленных Исполнителем в адрес Пользователя на указанные им при регистрации учетной записи телефонный номер, и адрес электронной почты, а также через Личный кабинет. Такие уведомления и сообщения приравниваются к сообщениям и уведомлениям, исполненным в простой письменной форме.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Пользователь может связаться с Исполнителем в форме обратной связи, чат-боте поддержки или с помощью адреса электронной почты Исполнителя, указанного на Платформе.</w:t>
      </w:r>
    </w:p>
    <w:p>
      <w:pPr>
        <w:pStyle w:val="Normal"/>
        <w:keepNext w:val="false"/>
        <w:keepLines w:val="false"/>
        <w:pageBreakBefore w:val="false"/>
        <w:widowControl/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vertAlign w:val="baseline"/>
        </w:rPr>
      </w:r>
    </w:p>
    <w:p>
      <w:pPr>
        <w:pStyle w:val="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-566" w:right="0" w:hanging="0"/>
        <w:jc w:val="center"/>
        <w:rPr>
          <w:rFonts w:ascii="Arial" w:hAnsi="Arial" w:eastAsia="Arial" w:cs="Arial"/>
          <w:b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Ответственность за нарушение правил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Исполнитель оставляет за собой право в одностороннем порядке принять решение о временной или постоянной блокировке Пользователя за нарушение настоящего Договора, а также иных правил пользования Платформой, доступных на Платформе, а также за нарушение законодательства РФ или иного применимого законодательства. 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Исполнитель имеет право на взыскание любых убытков с Пользователя или иных лиц, совершающих по отношению к Платформе и/или Исполнителю или аффилированным с Исполнителем лицам действия или бездействие, нарушающие права и охраняемые законом интересы Исполнителя или таких аффилированных лиц, включая упущенную в результате таких действий или бездействия выгоду.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left="-566" w:right="0" w:hanging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Исполнитель оставляет за собой право, при грубом нарушении со стороны Пользователя, использовать предоставленные Пользователем контактные данные и иную информацию, в том числе платежную, для принятия к Пользователю судебных, административных, уголовно-процессуальных и иных мер для защиты своих законных прав и интересов.</w:t>
      </w:r>
    </w:p>
    <w:p>
      <w:pPr>
        <w:pStyle w:val="Normal"/>
        <w:keepNext w:val="false"/>
        <w:keepLines w:val="false"/>
        <w:pageBreakBefore w:val="false"/>
        <w:widowControl/>
        <w:shd w:val="clear" w:fill="auto"/>
        <w:spacing w:lineRule="auto" w:line="276" w:before="0" w:after="160"/>
        <w:ind w:left="-566" w:right="0" w:hanging="0"/>
        <w:jc w:val="left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</w:r>
    </w:p>
    <w:p>
      <w:pPr>
        <w:pStyle w:val="Normal"/>
        <w:widowControl w:val="false"/>
        <w:spacing w:lineRule="auto" w:line="240" w:before="312" w:after="0"/>
        <w:ind w:left="1800" w:firstLine="360"/>
        <w:jc w:val="left"/>
        <w:rPr>
          <w:rFonts w:ascii="Arial" w:hAnsi="Arial" w:eastAsia="Arial" w:cs="Arial"/>
          <w:b/>
          <w:b/>
          <w:sz w:val="20"/>
          <w:szCs w:val="20"/>
        </w:rPr>
      </w:pPr>
      <w:r>
        <w:rPr>
          <w:rFonts w:eastAsia="Arial" w:cs="Arial" w:ascii="Arial" w:hAnsi="Arial"/>
          <w:b/>
          <w:sz w:val="22"/>
          <w:szCs w:val="22"/>
        </w:rPr>
        <w:t xml:space="preserve">13. РЕКВИЗИТЫ ОПЕРАТОРА </w:t>
      </w:r>
      <w:r>
        <w:rPr>
          <w:rFonts w:eastAsia="Arial" w:cs="Arial" w:ascii="Arial" w:hAnsi="Arial"/>
          <w:b/>
          <w:sz w:val="20"/>
          <w:szCs w:val="20"/>
        </w:rPr>
        <w:br/>
      </w:r>
    </w:p>
    <w:tbl>
      <w:tblPr>
        <w:tblStyle w:val="Table1"/>
        <w:tblW w:w="9356" w:type="dxa"/>
        <w:jc w:val="left"/>
        <w:tblInd w:w="6" w:type="dxa"/>
        <w:tblCellMar>
          <w:top w:w="100" w:type="dxa"/>
          <w:left w:w="100" w:type="dxa"/>
          <w:bottom w:w="100" w:type="dxa"/>
          <w:right w:w="100" w:type="dxa"/>
        </w:tblCellMar>
        <w:tblLook w:val="0600"/>
      </w:tblPr>
      <w:tblGrid>
        <w:gridCol w:w="2548"/>
        <w:gridCol w:w="6807"/>
      </w:tblGrid>
      <w:tr>
        <w:trPr>
          <w:trHeight w:val="290" w:hRule="atLeast"/>
        </w:trPr>
        <w:tc>
          <w:tcPr>
            <w:tcW w:w="25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spacing w:lineRule="auto" w:line="276" w:before="0" w:after="0"/>
              <w:rPr>
                <w:rFonts w:ascii="Arial" w:hAnsi="Arial" w:eastAsia="Arial" w:cs="Arial"/>
                <w:b/>
                <w:b/>
                <w:sz w:val="20"/>
                <w:szCs w:val="20"/>
                <w:highlight w:val="white"/>
              </w:rPr>
            </w:pPr>
            <w:bookmarkStart w:id="0" w:name="_heading=h.4i7ojhp"/>
            <w:bookmarkEnd w:id="0"/>
            <w:r>
              <w:rPr>
                <w:rFonts w:eastAsia="Arial" w:cs="Arial" w:ascii="Arial" w:hAnsi="Arial"/>
                <w:b/>
                <w:sz w:val="20"/>
                <w:szCs w:val="20"/>
              </w:rPr>
              <w:t>Наименование</w:t>
            </w:r>
          </w:p>
        </w:tc>
        <w:tc>
          <w:tcPr>
            <w:tcW w:w="68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spacing w:lineRule="auto" w:line="276" w:before="0" w:after="0"/>
              <w:rPr>
                <w:rFonts w:ascii="Arial" w:hAnsi="Arial" w:eastAsia="Arial" w:cs="Arial"/>
                <w:sz w:val="20"/>
                <w:szCs w:val="20"/>
                <w:highlight w:val="white"/>
              </w:rPr>
            </w:pPr>
            <w:bookmarkStart w:id="1" w:name="_heading=h.4i7ojhp1"/>
            <w:bookmarkEnd w:id="1"/>
            <w:r>
              <w:rPr>
                <w:rFonts w:eastAsia="Arial" w:cs="Arial" w:ascii="Arial" w:hAnsi="Arial"/>
                <w:sz w:val="20"/>
                <w:szCs w:val="20"/>
              </w:rPr>
              <w:t>Балашов Андрей Эдуардович</w:t>
            </w:r>
          </w:p>
        </w:tc>
      </w:tr>
      <w:tr>
        <w:trPr>
          <w:trHeight w:val="287" w:hRule="atLeast"/>
        </w:trPr>
        <w:tc>
          <w:tcPr>
            <w:tcW w:w="25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widowControl w:val="false"/>
              <w:spacing w:lineRule="auto" w:line="240" w:before="0" w:after="0"/>
              <w:ind w:left="0" w:hanging="0"/>
              <w:rPr>
                <w:rFonts w:ascii="Arial" w:hAnsi="Arial" w:eastAsia="Arial" w:cs="Arial"/>
                <w:b/>
                <w:b/>
                <w:sz w:val="20"/>
                <w:szCs w:val="20"/>
                <w:highlight w:val="white"/>
              </w:rPr>
            </w:pPr>
            <w:r>
              <w:rPr>
                <w:rFonts w:eastAsia="Arial" w:cs="Arial" w:ascii="Arial" w:hAnsi="Arial"/>
                <w:b/>
                <w:sz w:val="20"/>
                <w:szCs w:val="20"/>
                <w:highlight w:val="white"/>
              </w:rPr>
              <w:t>ОГРН</w:t>
            </w:r>
          </w:p>
        </w:tc>
        <w:tc>
          <w:tcPr>
            <w:tcW w:w="68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spacing w:lineRule="auto" w:line="276" w:before="0" w:after="0"/>
              <w:rPr>
                <w:rFonts w:ascii="Arial" w:hAnsi="Arial" w:eastAsia="Arial" w:cs="Arial"/>
                <w:b/>
                <w:b/>
                <w:sz w:val="20"/>
                <w:szCs w:val="20"/>
                <w:highlight w:val="white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323645700117862</w:t>
            </w:r>
          </w:p>
        </w:tc>
      </w:tr>
      <w:tr>
        <w:trPr>
          <w:trHeight w:val="290" w:hRule="atLeast"/>
        </w:trPr>
        <w:tc>
          <w:tcPr>
            <w:tcW w:w="25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widowControl w:val="false"/>
              <w:spacing w:lineRule="auto" w:line="240" w:before="0" w:after="0"/>
              <w:ind w:left="0" w:hanging="0"/>
              <w:rPr>
                <w:rFonts w:ascii="Arial" w:hAnsi="Arial" w:eastAsia="Arial" w:cs="Arial"/>
                <w:b/>
                <w:b/>
                <w:sz w:val="20"/>
                <w:szCs w:val="20"/>
                <w:highlight w:val="white"/>
              </w:rPr>
            </w:pPr>
            <w:r>
              <w:rPr>
                <w:rFonts w:eastAsia="Arial" w:cs="Arial" w:ascii="Arial" w:hAnsi="Arial"/>
                <w:b/>
                <w:sz w:val="20"/>
                <w:szCs w:val="20"/>
                <w:highlight w:val="white"/>
              </w:rPr>
              <w:t>ИНН</w:t>
            </w:r>
          </w:p>
        </w:tc>
        <w:tc>
          <w:tcPr>
            <w:tcW w:w="68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spacing w:lineRule="auto" w:line="276" w:before="0" w:after="0"/>
              <w:rPr>
                <w:rFonts w:ascii="Arial" w:hAnsi="Arial" w:eastAsia="Arial" w:cs="Arial"/>
                <w:b/>
                <w:b/>
                <w:sz w:val="20"/>
                <w:szCs w:val="20"/>
                <w:highlight w:val="white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644651000810</w:t>
            </w:r>
          </w:p>
        </w:tc>
      </w:tr>
      <w:tr>
        <w:trPr>
          <w:trHeight w:val="290" w:hRule="atLeast"/>
        </w:trPr>
        <w:tc>
          <w:tcPr>
            <w:tcW w:w="25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widowControl w:val="false"/>
              <w:spacing w:lineRule="auto" w:line="276" w:before="0" w:after="0"/>
              <w:rPr>
                <w:rFonts w:ascii="Arial" w:hAnsi="Arial" w:eastAsia="Arial" w:cs="Arial"/>
                <w:b/>
                <w:b/>
                <w:sz w:val="20"/>
                <w:szCs w:val="20"/>
                <w:highlight w:val="white"/>
              </w:rPr>
            </w:pPr>
            <w:r>
              <w:rPr>
                <w:rFonts w:eastAsia="Arial" w:cs="Arial" w:ascii="Arial" w:hAnsi="Arial"/>
                <w:b/>
                <w:sz w:val="20"/>
                <w:szCs w:val="20"/>
                <w:highlight w:val="white"/>
              </w:rPr>
              <w:t>Юридический адрес</w:t>
            </w:r>
          </w:p>
        </w:tc>
        <w:tc>
          <w:tcPr>
            <w:tcW w:w="68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widowControl w:val="false"/>
              <w:spacing w:lineRule="auto" w:line="276" w:before="0" w:after="0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  <w:highlight w:val="white"/>
              </w:rPr>
              <w:t>412031, Россия, Сартовская обл., г. Ртищево, ул. Пролетарская, д. 2, кв. 87</w:t>
            </w:r>
          </w:p>
        </w:tc>
      </w:tr>
      <w:tr>
        <w:trPr>
          <w:trHeight w:val="290" w:hRule="atLeast"/>
        </w:trPr>
        <w:tc>
          <w:tcPr>
            <w:tcW w:w="25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widowControl w:val="false"/>
              <w:spacing w:lineRule="auto" w:line="276" w:before="0" w:after="0"/>
              <w:rPr>
                <w:rFonts w:ascii="Arial" w:hAnsi="Arial" w:eastAsia="Arial" w:cs="Arial"/>
                <w:b/>
                <w:b/>
                <w:sz w:val="20"/>
                <w:szCs w:val="20"/>
                <w:highlight w:val="white"/>
              </w:rPr>
            </w:pPr>
            <w:r>
              <w:rPr>
                <w:rFonts w:eastAsia="Arial" w:cs="Arial" w:ascii="Arial" w:hAnsi="Arial"/>
                <w:b/>
                <w:sz w:val="20"/>
                <w:szCs w:val="20"/>
                <w:highlight w:val="white"/>
              </w:rPr>
              <w:t>Банк</w:t>
            </w:r>
          </w:p>
        </w:tc>
        <w:tc>
          <w:tcPr>
            <w:tcW w:w="68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widowControl w:val="false"/>
              <w:spacing w:lineRule="auto" w:line="276" w:before="0" w:after="0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  <w:highlight w:val="white"/>
              </w:rPr>
              <w:t>ПРИВОЛЖСКИЙ Ф-Л ПАО "ПРОМСВЯЗЬБАНК"</w:t>
            </w:r>
          </w:p>
        </w:tc>
      </w:tr>
      <w:tr>
        <w:trPr>
          <w:trHeight w:val="290" w:hRule="atLeast"/>
        </w:trPr>
        <w:tc>
          <w:tcPr>
            <w:tcW w:w="25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widowControl w:val="false"/>
              <w:spacing w:lineRule="auto" w:line="276" w:before="0" w:after="0"/>
              <w:rPr>
                <w:rFonts w:ascii="Arial" w:hAnsi="Arial" w:eastAsia="Arial" w:cs="Arial"/>
                <w:b/>
                <w:b/>
                <w:sz w:val="20"/>
                <w:szCs w:val="20"/>
                <w:highlight w:val="white"/>
              </w:rPr>
            </w:pPr>
            <w:r>
              <w:rPr>
                <w:rFonts w:eastAsia="Arial" w:cs="Arial" w:ascii="Arial" w:hAnsi="Arial"/>
                <w:b/>
                <w:sz w:val="20"/>
                <w:szCs w:val="20"/>
                <w:highlight w:val="white"/>
              </w:rPr>
              <w:t>БИК</w:t>
            </w:r>
          </w:p>
        </w:tc>
        <w:tc>
          <w:tcPr>
            <w:tcW w:w="68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widowControl w:val="false"/>
              <w:spacing w:lineRule="auto" w:line="276" w:before="0" w:after="0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  <w:highlight w:val="white"/>
              </w:rPr>
              <w:t>042202803</w:t>
            </w:r>
          </w:p>
        </w:tc>
      </w:tr>
      <w:tr>
        <w:trPr>
          <w:trHeight w:val="290" w:hRule="atLeast"/>
        </w:trPr>
        <w:tc>
          <w:tcPr>
            <w:tcW w:w="25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widowControl w:val="false"/>
              <w:spacing w:lineRule="auto" w:line="276" w:before="0" w:after="0"/>
              <w:rPr>
                <w:rFonts w:ascii="Arial" w:hAnsi="Arial" w:eastAsia="Arial" w:cs="Arial"/>
                <w:b/>
                <w:b/>
                <w:sz w:val="20"/>
                <w:szCs w:val="20"/>
                <w:highlight w:val="white"/>
              </w:rPr>
            </w:pPr>
            <w:r>
              <w:rPr>
                <w:rFonts w:eastAsia="Arial" w:cs="Arial" w:ascii="Arial" w:hAnsi="Arial"/>
                <w:b/>
                <w:sz w:val="20"/>
                <w:szCs w:val="20"/>
                <w:highlight w:val="white"/>
              </w:rPr>
              <w:t>Расчетный счет</w:t>
            </w:r>
          </w:p>
        </w:tc>
        <w:tc>
          <w:tcPr>
            <w:tcW w:w="68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widowControl w:val="false"/>
              <w:spacing w:lineRule="auto" w:line="276" w:before="0" w:after="0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  <w:highlight w:val="white"/>
              </w:rPr>
              <w:t>40802810903000164001</w:t>
            </w:r>
          </w:p>
        </w:tc>
      </w:tr>
      <w:tr>
        <w:trPr>
          <w:trHeight w:val="290" w:hRule="atLeast"/>
        </w:trPr>
        <w:tc>
          <w:tcPr>
            <w:tcW w:w="25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widowControl w:val="false"/>
              <w:spacing w:lineRule="auto" w:line="276" w:before="0" w:after="0"/>
              <w:rPr>
                <w:rFonts w:ascii="Arial" w:hAnsi="Arial" w:eastAsia="Arial" w:cs="Arial"/>
                <w:b/>
                <w:b/>
                <w:sz w:val="20"/>
                <w:szCs w:val="20"/>
                <w:highlight w:val="white"/>
              </w:rPr>
            </w:pPr>
            <w:r>
              <w:rPr>
                <w:rFonts w:eastAsia="Arial" w:cs="Arial" w:ascii="Arial" w:hAnsi="Arial"/>
                <w:b/>
                <w:sz w:val="20"/>
                <w:szCs w:val="20"/>
                <w:highlight w:val="white"/>
              </w:rPr>
              <w:t>Кор. счет</w:t>
            </w:r>
          </w:p>
        </w:tc>
        <w:tc>
          <w:tcPr>
            <w:tcW w:w="68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widowControl w:val="false"/>
              <w:spacing w:lineRule="auto" w:line="276" w:before="0" w:after="0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  <w:highlight w:val="white"/>
              </w:rPr>
              <w:t>30101810700000000803</w:t>
            </w:r>
          </w:p>
        </w:tc>
      </w:tr>
      <w:tr>
        <w:trPr>
          <w:trHeight w:val="290" w:hRule="atLeast"/>
        </w:trPr>
        <w:tc>
          <w:tcPr>
            <w:tcW w:w="25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widowControl w:val="false"/>
              <w:spacing w:lineRule="auto" w:line="240" w:before="0" w:after="0"/>
              <w:ind w:left="0" w:hanging="0"/>
              <w:rPr>
                <w:rFonts w:ascii="Arial" w:hAnsi="Arial" w:eastAsia="Arial" w:cs="Arial"/>
                <w:b/>
                <w:b/>
                <w:sz w:val="20"/>
                <w:szCs w:val="20"/>
                <w:highlight w:val="white"/>
              </w:rPr>
            </w:pPr>
            <w:r>
              <w:rPr>
                <w:rFonts w:eastAsia="Arial" w:cs="Arial" w:ascii="Arial" w:hAnsi="Arial"/>
                <w:b/>
                <w:sz w:val="20"/>
                <w:szCs w:val="20"/>
                <w:highlight w:val="white"/>
              </w:rPr>
              <w:t>Email</w:t>
            </w:r>
          </w:p>
        </w:tc>
        <w:tc>
          <w:tcPr>
            <w:tcW w:w="68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shd w:val="clear" w:fill="FFFFFF"/>
              <w:spacing w:lineRule="auto" w:line="276" w:before="0" w:after="0"/>
              <w:rPr/>
            </w:pPr>
            <w:hyperlink r:id="rId4">
              <w:r>
                <w:rPr>
                  <w:rStyle w:val="ListLabel2"/>
                  <w:rFonts w:eastAsia="Arial" w:cs="Arial" w:ascii="Arial" w:hAnsi="Arial"/>
                  <w:color w:val="1155CC"/>
                  <w:sz w:val="20"/>
                  <w:szCs w:val="20"/>
                  <w:u w:val="single"/>
                </w:rPr>
                <w:t>support@harmex.ru</w:t>
              </w:r>
            </w:hyperlink>
            <w:r>
              <w:rPr>
                <w:rFonts w:eastAsia="Arial" w:cs="Arial" w:ascii="Arial" w:hAnsi="Arial"/>
                <w:sz w:val="20"/>
                <w:szCs w:val="20"/>
              </w:rPr>
              <w:t xml:space="preserve"> </w:t>
            </w:r>
          </w:p>
        </w:tc>
      </w:tr>
    </w:tbl>
    <w:p>
      <w:pPr>
        <w:pStyle w:val="Normal"/>
        <w:widowControl w:val="false"/>
        <w:spacing w:lineRule="auto" w:line="276" w:before="0" w:after="0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</w:r>
    </w:p>
    <w:p>
      <w:pPr>
        <w:pStyle w:val="Normal"/>
        <w:widowControl w:val="false"/>
        <w:spacing w:lineRule="auto" w:line="240" w:before="312" w:after="0"/>
        <w:ind w:left="1800" w:firstLine="360"/>
        <w:rPr/>
      </w:pPr>
      <w:r>
        <w:rPr>
          <w:rFonts w:eastAsia="Arial" w:cs="Arial" w:ascii="Arial" w:hAnsi="Arial"/>
          <w:b/>
          <w:sz w:val="22"/>
          <w:szCs w:val="22"/>
        </w:rPr>
        <w:t xml:space="preserve">14. РЕКВИЗИТЫ ПОЛЬЗОВАТЕЛЯ </w:t>
      </w:r>
      <w:r>
        <w:rPr>
          <w:rFonts w:eastAsia="Arial" w:cs="Arial" w:ascii="Arial" w:hAnsi="Arial"/>
          <w:b/>
          <w:sz w:val="20"/>
          <w:szCs w:val="20"/>
        </w:rPr>
        <w:br/>
      </w:r>
    </w:p>
    <w:tbl>
      <w:tblPr>
        <w:tblStyle w:val="Table2"/>
        <w:tblW w:w="9071" w:type="dxa"/>
        <w:jc w:val="left"/>
        <w:tblInd w:w="0" w:type="dxa"/>
        <w:tblCellMar>
          <w:top w:w="100" w:type="dxa"/>
          <w:left w:w="100" w:type="dxa"/>
          <w:bottom w:w="100" w:type="dxa"/>
          <w:right w:w="100" w:type="dxa"/>
        </w:tblCellMar>
        <w:tblLook w:val="0600"/>
      </w:tblPr>
      <w:tblGrid>
        <w:gridCol w:w="4535"/>
        <w:gridCol w:w="4535"/>
      </w:tblGrid>
      <w:tr>
        <w:trPr/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widowControl w:val="false"/>
              <w:spacing w:lineRule="auto" w:line="240" w:before="0" w:after="0"/>
              <w:rPr/>
            </w:pPr>
            <w:r>
              <w:rPr>
                <w:b/>
              </w:rPr>
              <w:t>Пользователь</w:t>
            </w:r>
          </w:p>
        </w:tc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widowControl w:val="false"/>
              <w:bidi w:val="0"/>
              <w:spacing w:lineRule="auto" w:line="276" w:before="0" w:after="0"/>
              <w:rPr/>
            </w:pPr>
            <w:r>
              <w:rPr>
                <w:lang w:val="en-US"/>
              </w:rPr>
              <w:t>{{fioFirst}}</w:t>
            </w:r>
          </w:p>
        </w:tc>
      </w:tr>
      <w:tr>
        <w:trPr>
          <w:trHeight w:val="477" w:hRule="atLeast"/>
        </w:trPr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>ОГРНИП</w:t>
            </w:r>
          </w:p>
        </w:tc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widowControl w:val="false"/>
              <w:spacing w:lineRule="auto" w:line="276" w:before="0" w:after="160"/>
              <w:rPr/>
            </w:pPr>
            <w:r>
              <w:rPr>
                <w:highlight w:val="white"/>
                <w:lang w:val="en-US"/>
              </w:rPr>
              <w:t>{{ogrn}}</w:t>
            </w:r>
          </w:p>
        </w:tc>
      </w:tr>
      <w:tr>
        <w:trPr/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>ИНН</w:t>
            </w:r>
          </w:p>
        </w:tc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widowControl w:val="false"/>
              <w:spacing w:lineRule="auto" w:line="276" w:before="0" w:after="160"/>
              <w:rPr/>
            </w:pPr>
            <w:r>
              <w:rPr>
                <w:highlight w:val="white"/>
                <w:lang w:val="en-US"/>
              </w:rPr>
              <w:t>{{inn}}</w:t>
            </w:r>
          </w:p>
        </w:tc>
      </w:tr>
      <w:tr>
        <w:trPr/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>Адрес</w:t>
            </w:r>
          </w:p>
        </w:tc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widowControl w:val="false"/>
              <w:spacing w:lineRule="auto" w:line="276" w:before="0" w:after="160"/>
              <w:rPr/>
            </w:pPr>
            <w:r>
              <w:rPr>
                <w:highlight w:val="white"/>
                <w:lang w:val="en-US"/>
              </w:rPr>
              <w:t>{{address}}</w:t>
            </w:r>
          </w:p>
        </w:tc>
      </w:tr>
      <w:tr>
        <w:trPr/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spacing w:lineRule="auto" w:line="218" w:before="0" w:after="160"/>
              <w:rPr/>
            </w:pPr>
            <w:r>
              <w:rPr/>
              <w:t>Банк</w:t>
            </w:r>
          </w:p>
        </w:tc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widowControl w:val="false"/>
              <w:spacing w:lineRule="auto" w:line="276" w:before="0" w:after="160"/>
              <w:rPr/>
            </w:pPr>
            <w:r>
              <w:rPr>
                <w:highlight w:val="white"/>
                <w:lang w:val="en-US"/>
              </w:rPr>
              <w:t>{{bank}}</w:t>
            </w:r>
          </w:p>
        </w:tc>
      </w:tr>
      <w:tr>
        <w:trPr/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spacing w:lineRule="auto" w:line="218" w:before="0" w:after="160"/>
              <w:rPr/>
            </w:pPr>
            <w:r>
              <w:rPr/>
              <w:t>БИК</w:t>
            </w:r>
          </w:p>
        </w:tc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widowControl w:val="false"/>
              <w:spacing w:lineRule="auto" w:line="276" w:before="0" w:after="160"/>
              <w:rPr/>
            </w:pPr>
            <w:r>
              <w:rPr>
                <w:highlight w:val="white"/>
                <w:lang w:val="en-US"/>
              </w:rPr>
              <w:t>{{bik}}</w:t>
            </w:r>
          </w:p>
        </w:tc>
      </w:tr>
      <w:tr>
        <w:trPr/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spacing w:lineRule="auto" w:line="218" w:before="0" w:after="160"/>
              <w:rPr/>
            </w:pPr>
            <w:r>
              <w:rPr/>
              <w:t>Расчетный счет</w:t>
            </w:r>
          </w:p>
        </w:tc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widowControl w:val="false"/>
              <w:spacing w:lineRule="auto" w:line="276" w:before="0" w:after="160"/>
              <w:rPr/>
            </w:pPr>
            <w:r>
              <w:rPr>
                <w:highlight w:val="white"/>
                <w:lang w:val="en-US"/>
              </w:rPr>
              <w:t>{{rs}}</w:t>
            </w:r>
          </w:p>
        </w:tc>
      </w:tr>
      <w:tr>
        <w:trPr/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spacing w:lineRule="auto" w:line="218" w:before="0" w:after="160"/>
              <w:rPr/>
            </w:pPr>
            <w:r>
              <w:rPr/>
              <w:t>Кор. Cчёт</w:t>
            </w:r>
          </w:p>
        </w:tc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widowControl w:val="false"/>
              <w:spacing w:lineRule="auto" w:line="276" w:before="0" w:after="160"/>
              <w:rPr/>
            </w:pPr>
            <w:r>
              <w:rPr>
                <w:highlight w:val="white"/>
                <w:lang w:val="en-US"/>
              </w:rPr>
              <w:t>{{ks}}</w:t>
            </w:r>
          </w:p>
        </w:tc>
      </w:tr>
      <w:tr>
        <w:trPr/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>Эл. почта</w:t>
            </w:r>
          </w:p>
        </w:tc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widowControl w:val="false"/>
              <w:spacing w:lineRule="auto" w:line="276" w:before="0" w:after="160"/>
              <w:rPr/>
            </w:pPr>
            <w:r>
              <w:rPr>
                <w:highlight w:val="white"/>
                <w:lang w:val="en-US"/>
              </w:rPr>
              <w:t>{{email}}</w:t>
            </w:r>
          </w:p>
        </w:tc>
      </w:tr>
    </w:tbl>
    <w:p>
      <w:pPr>
        <w:pStyle w:val="Normal"/>
        <w:widowControl w:val="false"/>
        <w:bidi w:val="0"/>
        <w:spacing w:lineRule="auto" w:line="240" w:before="312" w:after="0"/>
        <w:ind w:left="0" w:right="0" w:firstLine="360"/>
        <w:jc w:val="center"/>
        <w:rPr/>
      </w:pPr>
      <w:r>
        <w:rPr>
          <w:rFonts w:eastAsia="Arial" w:cs="Arial" w:ascii="Arial" w:hAnsi="Arial"/>
          <w:b/>
          <w:sz w:val="22"/>
          <w:szCs w:val="22"/>
        </w:rPr>
        <w:t>1</w:t>
      </w:r>
      <w:r>
        <w:rPr>
          <w:rFonts w:eastAsia="Arial" w:cs="Arial" w:ascii="Arial" w:hAnsi="Arial"/>
          <w:b/>
          <w:sz w:val="22"/>
          <w:szCs w:val="22"/>
          <w:lang w:val="en-US"/>
        </w:rPr>
        <w:t>5</w:t>
      </w:r>
      <w:r>
        <w:rPr>
          <w:rFonts w:eastAsia="Arial" w:cs="Arial" w:ascii="Arial" w:hAnsi="Arial"/>
          <w:b/>
          <w:sz w:val="22"/>
          <w:szCs w:val="22"/>
        </w:rPr>
        <w:t xml:space="preserve">. ПОДПИСИ СТОРОН </w:t>
      </w:r>
      <w:r>
        <w:rPr>
          <w:rFonts w:eastAsia="Arial" w:cs="Arial" w:ascii="Arial" w:hAnsi="Arial"/>
          <w:b/>
          <w:sz w:val="20"/>
          <w:szCs w:val="20"/>
        </w:rPr>
        <w:br/>
      </w:r>
    </w:p>
    <w:tbl>
      <w:tblPr>
        <w:tblStyle w:val="Table3"/>
        <w:tblW w:w="9349" w:type="dxa"/>
        <w:jc w:val="left"/>
        <w:tblInd w:w="-113" w:type="dxa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4676"/>
        <w:gridCol w:w="4672"/>
      </w:tblGrid>
      <w:tr>
        <w:trPr/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b/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</w:r>
          </w:p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/>
                <w:sz w:val="20"/>
                <w:szCs w:val="20"/>
              </w:rPr>
              <w:t>Агент</w:t>
            </w:r>
          </w:p>
          <w:p>
            <w:pPr>
              <w:pStyle w:val="Normal"/>
              <w:spacing w:lineRule="auto" w:line="240" w:before="0" w:after="0"/>
              <w:jc w:val="center"/>
              <w:rPr>
                <w:b/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</w: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</w:tcPr>
          <w:p>
            <w:pPr>
              <w:pStyle w:val="Normal"/>
              <w:spacing w:lineRule="auto" w:line="240" w:before="0" w:after="0"/>
              <w:jc w:val="left"/>
              <w:rPr>
                <w:b/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</w:r>
          </w:p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/>
                <w:sz w:val="20"/>
                <w:szCs w:val="20"/>
              </w:rPr>
              <w:t>Пользователь</w:t>
            </w:r>
          </w:p>
        </w:tc>
      </w:tr>
      <w:tr>
        <w:trPr/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</w:tcPr>
          <w:p>
            <w:pPr>
              <w:pStyle w:val="Normal"/>
              <w:widowControl w:val="false"/>
              <w:spacing w:lineRule="auto" w:line="276" w:before="0" w:after="0"/>
              <w:jc w:val="center"/>
              <w:rPr/>
            </w:pPr>
            <w:bookmarkStart w:id="2" w:name="__DdeLink__492_4279506298"/>
            <w:bookmarkStart w:id="3" w:name="__DdeLink__496_980761781"/>
            <w:r>
              <w:rPr>
                <w:sz w:val="20"/>
                <w:szCs w:val="20"/>
                <w:highlight w:val="white"/>
              </w:rPr>
              <w:t>Индивидуальный предприниматель</w:t>
            </w:r>
            <w:bookmarkEnd w:id="2"/>
            <w:bookmarkEnd w:id="3"/>
          </w:p>
          <w:p>
            <w:pPr>
              <w:pStyle w:val="Normal"/>
              <w:widowControl w:val="false"/>
              <w:spacing w:lineRule="auto" w:line="276" w:before="0" w:after="0"/>
              <w:jc w:val="center"/>
              <w:rPr/>
            </w:pPr>
            <w:r>
              <w:rPr>
                <w:sz w:val="20"/>
                <w:szCs w:val="20"/>
                <w:highlight w:val="white"/>
              </w:rPr>
              <w:t>Новиков Андрей Валерьевич</w:t>
            </w: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</w:tcPr>
          <w:p>
            <w:pPr>
              <w:pStyle w:val="Normal"/>
              <w:widowControl w:val="false"/>
              <w:bidi w:val="0"/>
              <w:spacing w:lineRule="auto" w:line="276" w:before="0" w:after="0"/>
              <w:jc w:val="center"/>
              <w:rPr/>
            </w:pPr>
            <w:bookmarkStart w:id="4" w:name="__DdeLink__3355_674704019"/>
            <w:r>
              <w:rPr>
                <w:sz w:val="20"/>
                <w:szCs w:val="20"/>
                <w:highlight w:val="white"/>
                <w:lang w:val="ru-RU"/>
              </w:rPr>
              <w:t>Индивидуальный предприниматель</w:t>
            </w:r>
            <w:bookmarkEnd w:id="4"/>
          </w:p>
          <w:p>
            <w:pPr>
              <w:pStyle w:val="Normal"/>
              <w:bidi w:val="0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  <w:lang w:val="en-US"/>
              </w:rPr>
              <w:t>{{fio}}</w:t>
            </w:r>
          </w:p>
        </w:tc>
      </w:tr>
      <w:tr>
        <w:trPr/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21"/>
                <w:szCs w:val="21"/>
              </w:rPr>
              <w:t>________________________ / А.В. Новиков</w:t>
            </w: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21"/>
                <w:szCs w:val="21"/>
              </w:rPr>
              <w:t>_________________________ /</w:t>
            </w:r>
            <w:r>
              <w:rPr>
                <w:sz w:val="21"/>
                <w:szCs w:val="21"/>
                <w:lang w:val="en-US"/>
              </w:rPr>
              <w:t xml:space="preserve"> {{initials}}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sectPr>
      <w:headerReference w:type="default" r:id="rId5"/>
      <w:type w:val="nextPage"/>
      <w:pgSz w:w="11906" w:h="16838"/>
      <w:pgMar w:left="1701" w:right="850" w:header="708" w:top="1134" w:footer="0" w:bottom="1134" w:gutter="0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ptos">
    <w:charset w:val="00"/>
    <w:family w:val="roman"/>
    <w:pitch w:val="variable"/>
  </w:font>
  <w:font w:name="Aptos Display">
    <w:charset w:val="00"/>
    <w:family w:val="roman"/>
    <w:pitch w:val="variable"/>
  </w:font>
  <w:font w:name="Arial">
    <w:charset w:val="00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Normal"/>
      <w:tabs>
        <w:tab w:val="clear" w:pos="720"/>
        <w:tab w:val="center" w:pos="4677" w:leader="none"/>
        <w:tab w:val="right" w:pos="9355" w:leader="none"/>
      </w:tabs>
      <w:spacing w:lineRule="auto" w:line="240" w:before="0" w:after="0"/>
      <w:jc w:val="right"/>
      <w:rPr/>
    </w:pPr>
    <w:r>
      <w:rPr>
        <w:rFonts w:eastAsia="Arial" w:cs="Arial" w:ascii="Arial" w:hAnsi="Arial"/>
        <w:sz w:val="22"/>
        <w:szCs w:val="22"/>
      </w:rPr>
      <w:t>Редакция от 15.11. 2024 г.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7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5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30"/>
  <w:defaultTabStop w:val="72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Aptos"/>
        <w:szCs w:val="24"/>
        <w:lang w:val="ru-RU" w:eastAsia="zh-CN" w:bidi="hi-IN"/>
      </w:rPr>
    </w:rPrDefault>
    <w:pPrDefault>
      <w:pPr/>
    </w:pPrDefault>
  </w:docDefaults>
  <w:style w:type="paragraph" w:styleId="Normal" w:default="1">
    <w:name w:val="Normal"/>
    <w:qFormat/>
    <w:pPr>
      <w:widowControl/>
      <w:bidi w:val="0"/>
      <w:spacing w:lineRule="auto" w:line="276" w:before="0" w:after="160"/>
      <w:jc w:val="left"/>
    </w:pPr>
    <w:rPr>
      <w:rFonts w:ascii="Aptos" w:hAnsi="Aptos" w:eastAsia="Aptos" w:cs="Aptos"/>
      <w:color w:val="auto"/>
      <w:kern w:val="0"/>
      <w:sz w:val="24"/>
      <w:szCs w:val="24"/>
      <w:lang w:val="ru-RU" w:eastAsia="zh-CN" w:bidi="hi-IN"/>
    </w:rPr>
  </w:style>
  <w:style w:type="paragraph" w:styleId="Heading1">
    <w:name w:val="Heading 1"/>
    <w:basedOn w:val="Normal"/>
    <w:next w:val="Normal"/>
    <w:link w:val="10"/>
    <w:uiPriority w:val="9"/>
    <w:qFormat/>
    <w:rsid w:val="008024a3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20"/>
    <w:uiPriority w:val="9"/>
    <w:semiHidden/>
    <w:unhideWhenUsed/>
    <w:qFormat/>
    <w:rsid w:val="008024a3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30"/>
    <w:uiPriority w:val="9"/>
    <w:semiHidden/>
    <w:unhideWhenUsed/>
    <w:qFormat/>
    <w:rsid w:val="008024a3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40"/>
    <w:uiPriority w:val="9"/>
    <w:semiHidden/>
    <w:unhideWhenUsed/>
    <w:qFormat/>
    <w:rsid w:val="008024a3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50"/>
    <w:uiPriority w:val="9"/>
    <w:semiHidden/>
    <w:unhideWhenUsed/>
    <w:qFormat/>
    <w:rsid w:val="008024a3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val="0F4761" w:themeColor="accent1" w:themeShade="bf"/>
    </w:rPr>
  </w:style>
  <w:style w:type="paragraph" w:styleId="Heading6">
    <w:name w:val="Heading 6"/>
    <w:basedOn w:val="Normal"/>
    <w:next w:val="Normal"/>
    <w:link w:val="60"/>
    <w:uiPriority w:val="9"/>
    <w:semiHidden/>
    <w:unhideWhenUsed/>
    <w:qFormat/>
    <w:rsid w:val="008024a3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70"/>
    <w:uiPriority w:val="9"/>
    <w:semiHidden/>
    <w:unhideWhenUsed/>
    <w:qFormat/>
    <w:rsid w:val="008024a3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val="595959" w:themeColor="text1" w:themeTint="a6"/>
    </w:rPr>
  </w:style>
  <w:style w:type="paragraph" w:styleId="Heading8">
    <w:name w:val="Heading 8"/>
    <w:basedOn w:val="Normal"/>
    <w:next w:val="Normal"/>
    <w:link w:val="80"/>
    <w:uiPriority w:val="9"/>
    <w:semiHidden/>
    <w:unhideWhenUsed/>
    <w:qFormat/>
    <w:rsid w:val="008024a3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90"/>
    <w:uiPriority w:val="9"/>
    <w:semiHidden/>
    <w:unhideWhenUsed/>
    <w:qFormat/>
    <w:rsid w:val="008024a3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link w:val="1"/>
    <w:uiPriority w:val="9"/>
    <w:qFormat/>
    <w:rsid w:val="008024a3"/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40"/>
      <w:szCs w:val="40"/>
    </w:rPr>
  </w:style>
  <w:style w:type="character" w:styleId="2" w:customStyle="1">
    <w:name w:val="Заголовок 2 Знак"/>
    <w:basedOn w:val="DefaultParagraphFont"/>
    <w:link w:val="2"/>
    <w:uiPriority w:val="9"/>
    <w:semiHidden/>
    <w:qFormat/>
    <w:rsid w:val="008024a3"/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32"/>
      <w:szCs w:val="32"/>
    </w:rPr>
  </w:style>
  <w:style w:type="character" w:styleId="3" w:customStyle="1">
    <w:name w:val="Заголовок 3 Знак"/>
    <w:basedOn w:val="DefaultParagraphFont"/>
    <w:link w:val="3"/>
    <w:uiPriority w:val="9"/>
    <w:semiHidden/>
    <w:qFormat/>
    <w:rsid w:val="008024a3"/>
    <w:rPr>
      <w:rFonts w:eastAsia="" w:cs="" w:cstheme="majorBidi" w:eastAsiaTheme="majorEastAsia"/>
      <w:color w:val="0F4761" w:themeColor="accent1" w:themeShade="bf"/>
      <w:sz w:val="28"/>
      <w:szCs w:val="28"/>
    </w:rPr>
  </w:style>
  <w:style w:type="character" w:styleId="4" w:customStyle="1">
    <w:name w:val="Заголовок 4 Знак"/>
    <w:basedOn w:val="DefaultParagraphFont"/>
    <w:link w:val="4"/>
    <w:uiPriority w:val="9"/>
    <w:semiHidden/>
    <w:qFormat/>
    <w:rsid w:val="008024a3"/>
    <w:rPr>
      <w:rFonts w:eastAsia="" w:cs="" w:cstheme="majorBidi" w:eastAsiaTheme="majorEastAsia"/>
      <w:i/>
      <w:iCs/>
      <w:color w:val="0F4761" w:themeColor="accent1" w:themeShade="bf"/>
    </w:rPr>
  </w:style>
  <w:style w:type="character" w:styleId="5" w:customStyle="1">
    <w:name w:val="Заголовок 5 Знак"/>
    <w:basedOn w:val="DefaultParagraphFont"/>
    <w:link w:val="5"/>
    <w:uiPriority w:val="9"/>
    <w:semiHidden/>
    <w:qFormat/>
    <w:rsid w:val="008024a3"/>
    <w:rPr>
      <w:rFonts w:eastAsia="" w:cs="" w:cstheme="majorBidi" w:eastAsiaTheme="majorEastAsia"/>
      <w:color w:val="0F4761" w:themeColor="accent1" w:themeShade="bf"/>
    </w:rPr>
  </w:style>
  <w:style w:type="character" w:styleId="6" w:customStyle="1">
    <w:name w:val="Заголовок 6 Знак"/>
    <w:basedOn w:val="DefaultParagraphFont"/>
    <w:link w:val="6"/>
    <w:uiPriority w:val="9"/>
    <w:semiHidden/>
    <w:qFormat/>
    <w:rsid w:val="008024a3"/>
    <w:rPr>
      <w:rFonts w:eastAsia="" w:cs="" w:cstheme="majorBidi" w:eastAsiaTheme="majorEastAsia"/>
      <w:i/>
      <w:iCs/>
      <w:color w:val="595959" w:themeColor="text1" w:themeTint="a6"/>
    </w:rPr>
  </w:style>
  <w:style w:type="character" w:styleId="7" w:customStyle="1">
    <w:name w:val="Заголовок 7 Знак"/>
    <w:basedOn w:val="DefaultParagraphFont"/>
    <w:link w:val="7"/>
    <w:uiPriority w:val="9"/>
    <w:semiHidden/>
    <w:qFormat/>
    <w:rsid w:val="008024a3"/>
    <w:rPr>
      <w:rFonts w:eastAsia="" w:cs="" w:cstheme="majorBidi" w:eastAsiaTheme="majorEastAsia"/>
      <w:color w:val="595959" w:themeColor="text1" w:themeTint="a6"/>
    </w:rPr>
  </w:style>
  <w:style w:type="character" w:styleId="8" w:customStyle="1">
    <w:name w:val="Заголовок 8 Знак"/>
    <w:basedOn w:val="DefaultParagraphFont"/>
    <w:link w:val="8"/>
    <w:uiPriority w:val="9"/>
    <w:semiHidden/>
    <w:qFormat/>
    <w:rsid w:val="008024a3"/>
    <w:rPr>
      <w:rFonts w:eastAsia="" w:cs="" w:cstheme="majorBidi" w:eastAsiaTheme="majorEastAsia"/>
      <w:i/>
      <w:iCs/>
      <w:color w:val="272727" w:themeColor="text1" w:themeTint="d8"/>
    </w:rPr>
  </w:style>
  <w:style w:type="character" w:styleId="9" w:customStyle="1">
    <w:name w:val="Заголовок 9 Знак"/>
    <w:basedOn w:val="DefaultParagraphFont"/>
    <w:link w:val="9"/>
    <w:uiPriority w:val="9"/>
    <w:semiHidden/>
    <w:qFormat/>
    <w:rsid w:val="008024a3"/>
    <w:rPr>
      <w:rFonts w:eastAsia="" w:cs="" w:cstheme="majorBidi" w:eastAsiaTheme="majorEastAsia"/>
      <w:color w:val="272727" w:themeColor="text1" w:themeTint="d8"/>
    </w:rPr>
  </w:style>
  <w:style w:type="character" w:styleId="Style5" w:customStyle="1">
    <w:name w:val="Заголовок Знак"/>
    <w:basedOn w:val="DefaultParagraphFont"/>
    <w:link w:val="a3"/>
    <w:uiPriority w:val="10"/>
    <w:qFormat/>
    <w:rsid w:val="008024a3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tyle6" w:customStyle="1">
    <w:name w:val="Подзаголовок Знак"/>
    <w:basedOn w:val="DefaultParagraphFont"/>
    <w:link w:val="a5"/>
    <w:uiPriority w:val="11"/>
    <w:qFormat/>
    <w:rsid w:val="008024a3"/>
    <w:rPr>
      <w:rFonts w:eastAsia="" w:cs="" w:cstheme="majorBidi" w:eastAsiaTheme="majorEastAsia"/>
      <w:color w:val="595959" w:themeColor="text1" w:themeTint="a6"/>
      <w:spacing w:val="15"/>
      <w:sz w:val="28"/>
      <w:szCs w:val="28"/>
    </w:rPr>
  </w:style>
  <w:style w:type="character" w:styleId="21" w:customStyle="1">
    <w:name w:val="Цитата 2 Знак"/>
    <w:basedOn w:val="DefaultParagraphFont"/>
    <w:link w:val="21"/>
    <w:uiPriority w:val="29"/>
    <w:qFormat/>
    <w:rsid w:val="008024a3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8024a3"/>
    <w:rPr>
      <w:i/>
      <w:iCs/>
      <w:color w:val="0F4761" w:themeColor="accent1" w:themeShade="bf"/>
    </w:rPr>
  </w:style>
  <w:style w:type="character" w:styleId="Style7" w:customStyle="1">
    <w:name w:val="Выделенная цитата Знак"/>
    <w:basedOn w:val="DefaultParagraphFont"/>
    <w:link w:val="a9"/>
    <w:uiPriority w:val="30"/>
    <w:qFormat/>
    <w:rsid w:val="008024a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024a3"/>
    <w:rPr>
      <w:b/>
      <w:bCs/>
      <w:smallCaps/>
      <w:color w:val="0F4761" w:themeColor="accent1" w:themeShade="bf"/>
      <w:spacing w:val="5"/>
    </w:rPr>
  </w:style>
  <w:style w:type="character" w:styleId="Annotationreference">
    <w:name w:val="annotation reference"/>
    <w:basedOn w:val="DefaultParagraphFont"/>
    <w:uiPriority w:val="99"/>
    <w:semiHidden/>
    <w:unhideWhenUsed/>
    <w:qFormat/>
    <w:rsid w:val="004b2d34"/>
    <w:rPr>
      <w:sz w:val="16"/>
      <w:szCs w:val="16"/>
    </w:rPr>
  </w:style>
  <w:style w:type="character" w:styleId="Style8" w:customStyle="1">
    <w:name w:val="Текст примечания Знак"/>
    <w:basedOn w:val="DefaultParagraphFont"/>
    <w:link w:val="ad"/>
    <w:uiPriority w:val="99"/>
    <w:qFormat/>
    <w:rsid w:val="004b2d34"/>
    <w:rPr>
      <w:sz w:val="20"/>
      <w:szCs w:val="20"/>
    </w:rPr>
  </w:style>
  <w:style w:type="character" w:styleId="Style9" w:customStyle="1">
    <w:name w:val="Тема примечания Знак"/>
    <w:basedOn w:val="Style8"/>
    <w:link w:val="af"/>
    <w:uiPriority w:val="99"/>
    <w:semiHidden/>
    <w:qFormat/>
    <w:rsid w:val="004b2d34"/>
    <w:rPr>
      <w:b/>
      <w:bCs/>
      <w:sz w:val="20"/>
      <w:szCs w:val="20"/>
    </w:rPr>
  </w:style>
  <w:style w:type="character" w:styleId="ListLabel1">
    <w:name w:val="ListLabel 1"/>
    <w:qFormat/>
    <w:rPr>
      <w:rFonts w:ascii="Arial" w:hAnsi="Arial" w:eastAsia="Arial" w:cs="Arial"/>
      <w:color w:val="0000FF"/>
      <w:sz w:val="22"/>
      <w:szCs w:val="22"/>
      <w:u w:val="single"/>
    </w:rPr>
  </w:style>
  <w:style w:type="character" w:styleId="InternetLink">
    <w:name w:val="Internet Link"/>
    <w:rPr>
      <w:color w:val="000080"/>
      <w:u w:val="single"/>
      <w:lang w:val="zxx" w:eastAsia="zxx" w:bidi="zxx"/>
    </w:rPr>
  </w:style>
  <w:style w:type="character" w:styleId="ListLabel2">
    <w:name w:val="ListLabel 2"/>
    <w:qFormat/>
    <w:rPr>
      <w:rFonts w:ascii="Arial" w:hAnsi="Arial" w:eastAsia="Arial" w:cs="Arial"/>
      <w:color w:val="1155CC"/>
      <w:sz w:val="20"/>
      <w:szCs w:val="20"/>
      <w:u w:val="single"/>
    </w:rPr>
  </w:style>
  <w:style w:type="character" w:styleId="ListLabel3">
    <w:name w:val="ListLabel 3"/>
    <w:qFormat/>
    <w:rPr>
      <w:rFonts w:ascii="Arial" w:hAnsi="Arial" w:eastAsia="Arial" w:cs="Arial"/>
      <w:color w:val="0000FF"/>
      <w:sz w:val="22"/>
      <w:szCs w:val="22"/>
      <w:u w:val="single"/>
    </w:rPr>
  </w:style>
  <w:style w:type="character" w:styleId="ListLabel4">
    <w:name w:val="ListLabel 4"/>
    <w:qFormat/>
    <w:rPr>
      <w:rFonts w:ascii="Arial" w:hAnsi="Arial" w:eastAsia="Arial" w:cs="Arial"/>
      <w:color w:val="1155CC"/>
      <w:sz w:val="20"/>
      <w:szCs w:val="20"/>
      <w:u w:val="single"/>
    </w:rPr>
  </w:style>
  <w:style w:type="character" w:styleId="ListLabel5">
    <w:name w:val="ListLabel 5"/>
    <w:qFormat/>
    <w:rPr>
      <w:rFonts w:ascii="Arial" w:hAnsi="Arial" w:eastAsia="Arial" w:cs="Arial"/>
      <w:color w:val="0000FF"/>
      <w:sz w:val="22"/>
      <w:szCs w:val="22"/>
      <w:u w:val="single"/>
    </w:rPr>
  </w:style>
  <w:style w:type="character" w:styleId="ListLabel6">
    <w:name w:val="ListLabel 6"/>
    <w:qFormat/>
    <w:rPr>
      <w:rFonts w:ascii="Arial" w:hAnsi="Arial" w:eastAsia="Arial" w:cs="Arial"/>
      <w:color w:val="1155CC"/>
      <w:sz w:val="20"/>
      <w:szCs w:val="20"/>
      <w:u w:val="single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Arial" w:hAnsi="Arial" w:eastAsia="Microsoft YaHei" w:cs="Arial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LOnormal" w:default="1">
    <w:name w:val="LO-normal"/>
    <w:qFormat/>
    <w:pPr>
      <w:widowControl/>
      <w:bidi w:val="0"/>
      <w:spacing w:lineRule="auto" w:line="276" w:before="0" w:after="160"/>
      <w:jc w:val="left"/>
    </w:pPr>
    <w:rPr>
      <w:rFonts w:ascii="Aptos" w:hAnsi="Aptos" w:eastAsia="Aptos" w:cs="Aptos"/>
      <w:color w:val="auto"/>
      <w:kern w:val="0"/>
      <w:sz w:val="24"/>
      <w:szCs w:val="24"/>
      <w:lang w:val="ru-RU" w:eastAsia="zh-CN" w:bidi="hi-IN"/>
    </w:rPr>
  </w:style>
  <w:style w:type="paragraph" w:styleId="Title">
    <w:name w:val="Title"/>
    <w:basedOn w:val="Normal"/>
    <w:next w:val="Normal"/>
    <w:link w:val="a4"/>
    <w:uiPriority w:val="10"/>
    <w:qFormat/>
    <w:rsid w:val="008024a3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LOnormal"/>
    <w:next w:val="LOnormal"/>
    <w:link w:val="a6"/>
    <w:uiPriority w:val="11"/>
    <w:qFormat/>
    <w:rsid w:val="008024a3"/>
    <w:pPr/>
    <w:rPr>
      <w:color w:val="595959"/>
      <w:sz w:val="28"/>
      <w:szCs w:val="28"/>
    </w:rPr>
  </w:style>
  <w:style w:type="paragraph" w:styleId="Quote">
    <w:name w:val="Quote"/>
    <w:basedOn w:val="Normal"/>
    <w:next w:val="Normal"/>
    <w:link w:val="22"/>
    <w:uiPriority w:val="29"/>
    <w:qFormat/>
    <w:rsid w:val="008024a3"/>
    <w:pPr>
      <w:spacing w:before="160" w:after="16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024a3"/>
    <w:pPr>
      <w:spacing w:before="0" w:after="160"/>
      <w:ind w:left="720" w:hanging="0"/>
      <w:contextualSpacing/>
    </w:pPr>
    <w:rPr/>
  </w:style>
  <w:style w:type="paragraph" w:styleId="IntenseQuote">
    <w:name w:val="Intense Quote"/>
    <w:basedOn w:val="Normal"/>
    <w:next w:val="Normal"/>
    <w:link w:val="aa"/>
    <w:uiPriority w:val="30"/>
    <w:qFormat/>
    <w:rsid w:val="008024a3"/>
    <w:pPr>
      <w:pBdr>
        <w:top w:val="single" w:sz="4" w:space="10" w:color="0F4761"/>
        <w:bottom w:val="single" w:sz="4" w:space="10" w:color="0F4761"/>
      </w:pBdr>
      <w:spacing w:before="360" w:after="360"/>
      <w:ind w:left="864" w:right="864" w:hanging="0"/>
      <w:jc w:val="center"/>
    </w:pPr>
    <w:rPr>
      <w:i/>
      <w:iCs/>
      <w:color w:val="0F4761" w:themeColor="accent1" w:themeShade="bf"/>
    </w:rPr>
  </w:style>
  <w:style w:type="paragraph" w:styleId="Annotationtext">
    <w:name w:val="annotation text"/>
    <w:basedOn w:val="Normal"/>
    <w:link w:val="ae"/>
    <w:uiPriority w:val="99"/>
    <w:unhideWhenUsed/>
    <w:qFormat/>
    <w:rsid w:val="004b2d34"/>
    <w:pPr>
      <w:spacing w:lineRule="auto" w:line="240"/>
    </w:pPr>
    <w:rPr>
      <w:sz w:val="20"/>
      <w:szCs w:val="20"/>
    </w:rPr>
  </w:style>
  <w:style w:type="paragraph" w:styleId="Annotationsubject">
    <w:name w:val="annotation subject"/>
    <w:basedOn w:val="Annotationtext"/>
    <w:next w:val="Annotationtext"/>
    <w:link w:val="af0"/>
    <w:uiPriority w:val="99"/>
    <w:semiHidden/>
    <w:unhideWhenUsed/>
    <w:qFormat/>
    <w:rsid w:val="004b2d34"/>
    <w:pPr/>
    <w:rPr>
      <w:b/>
      <w:bCs/>
    </w:rPr>
  </w:style>
  <w:style w:type="paragraph" w:styleId="Header">
    <w:name w:val="Header"/>
    <w:basedOn w:val="Normal"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Table Normal"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www.harmex.ru/" TargetMode="External"/><Relationship Id="rId3" Type="http://schemas.openxmlformats.org/officeDocument/2006/relationships/hyperlink" Target="http://www.harmex.ru/" TargetMode="External"/><Relationship Id="rId4" Type="http://schemas.openxmlformats.org/officeDocument/2006/relationships/hyperlink" Target="mailto:support@harmex.ru" TargetMode="External"/><Relationship Id="rId5" Type="http://schemas.openxmlformats.org/officeDocument/2006/relationships/header" Target="header1.xm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jkLy9SymMB4YqHT/q+QzFsxy+RGA==">CgMxLjAyCWguNGk3b2pocDIJaC40aTdvamhwOAByITFpV0NiWVVPVDFTSWY2N21GZUF4OWlPQ21ESmI0QkxDVA==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</TotalTime>
  <Application>XLSX_Editor/6.2.8.2$Windows_x86 LibreOffice_project/</Application>
  <Pages>5</Pages>
  <Words>1563</Words>
  <Characters>11047</Characters>
  <CharactersWithSpaces>12470</CharactersWithSpaces>
  <Paragraphs>108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2024-10-23T02:53:00Z</dcterms:created>
  <dc:creator>Mergen Dordzhiev</dc:creator>
  <dc:description/>
  <dc:language>en-US</dc:language>
  <cp:lastModifiedBy/>
  <dcterms:modified xsi:type="dcterms:W3CDTF">2024-12-13T15:34:05Z</dcterms:modified>
  <cp:revision>3</cp:revision>
  <dc:subject/>
  <dc:title/>
</cp:coreProperties>
</file>