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oter1.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ind w:left="0" w:hanging="0"/>
        <w:jc w:val="center"/>
        <w:rPr>
          <w:b/>
          <w:b/>
          <w:sz w:val="24"/>
          <w:szCs w:val="24"/>
        </w:rPr>
      </w:pPr>
      <w:bookmarkStart w:id="0" w:name="_heading=h.gjdgxs"/>
      <w:bookmarkEnd w:id="0"/>
      <w:r>
        <w:rPr>
          <w:b/>
          <w:sz w:val="24"/>
          <w:szCs w:val="24"/>
        </w:rPr>
        <w:t xml:space="preserve">ПУБЛИЧНЫЙ ДОГОВОР </w:t>
      </w:r>
      <w:r>
        <w:rPr>
          <w:rFonts w:eastAsia="Cambria Math" w:cs="Cambria Math" w:ascii="Cambria Math" w:hAnsi="Cambria Math"/>
          <w:b/>
          <w:sz w:val="24"/>
          <w:szCs w:val="24"/>
        </w:rPr>
        <w:t>⎯</w:t>
      </w:r>
      <w:r>
        <w:rPr>
          <w:b/>
          <w:sz w:val="24"/>
          <w:szCs w:val="24"/>
        </w:rPr>
        <w:t xml:space="preserve"> ОФЕРТА</w:t>
      </w:r>
    </w:p>
    <w:p>
      <w:pPr>
        <w:pStyle w:val="Normal"/>
        <w:ind w:left="0" w:hanging="0"/>
        <w:jc w:val="center"/>
        <w:rPr>
          <w:b/>
          <w:b/>
        </w:rPr>
      </w:pPr>
      <w:r>
        <w:rPr>
          <w:b/>
        </w:rPr>
        <w:t>о заключении договора</w:t>
      </w:r>
    </w:p>
    <w:p>
      <w:pPr>
        <w:pStyle w:val="Normal"/>
        <w:ind w:left="0" w:hanging="0"/>
        <w:jc w:val="center"/>
        <w:rPr/>
      </w:pPr>
      <w:r>
        <w:rPr/>
        <w:t>Редакция от «26» августа 2024 г., Российская Федерация, г. Москва</w:t>
      </w:r>
    </w:p>
    <w:p>
      <w:pPr>
        <w:pStyle w:val="Normal"/>
        <w:ind w:left="0" w:hanging="0"/>
        <w:jc w:val="both"/>
        <w:rPr/>
      </w:pPr>
      <w:bookmarkStart w:id="1" w:name="_heading=h.30j0zll"/>
      <w:bookmarkEnd w:id="1"/>
      <w:r>
        <w:rPr/>
        <w:t xml:space="preserve">Настоящий публичный договор является официальным публичным предложением Индивидуального предпринимателя Новиков Андрей Валерьевич (далее по тексту </w:t>
      </w:r>
      <w:r>
        <w:rPr>
          <w:rFonts w:eastAsia="Cambria Math" w:cs="Cambria Math" w:ascii="Cambria Math" w:hAnsi="Cambria Math"/>
        </w:rPr>
        <w:t>⎯</w:t>
      </w:r>
      <w:r>
        <w:rPr/>
        <w:t xml:space="preserve"> «</w:t>
      </w:r>
      <w:r>
        <w:rPr>
          <w:b/>
        </w:rPr>
        <w:t>Агент</w:t>
      </w:r>
      <w:r>
        <w:rPr/>
        <w:t xml:space="preserve">»), с одной стороны, адресованное к неограниченному кругу физических и юридических лиц (далее по тексту </w:t>
      </w:r>
      <w:r>
        <w:rPr>
          <w:rFonts w:eastAsia="Cambria Math" w:cs="Cambria Math" w:ascii="Cambria Math" w:hAnsi="Cambria Math"/>
        </w:rPr>
        <w:t>⎯</w:t>
      </w:r>
      <w:r>
        <w:rPr/>
        <w:t xml:space="preserve"> «</w:t>
      </w:r>
      <w:r>
        <w:rPr>
          <w:b/>
        </w:rPr>
        <w:t>Пользователь</w:t>
      </w:r>
      <w:r>
        <w:rPr/>
        <w:t xml:space="preserve">»), с другой стороны, далее вместе именуемые </w:t>
      </w:r>
      <w:r>
        <w:rPr>
          <w:rFonts w:eastAsia="Cambria Math" w:cs="Cambria Math" w:ascii="Cambria Math" w:hAnsi="Cambria Math"/>
        </w:rPr>
        <w:t>⎯</w:t>
      </w:r>
      <w:r>
        <w:rPr/>
        <w:t xml:space="preserve"> «Стороны», а каждый по отдельности в дальнейшем именуемый </w:t>
      </w:r>
      <w:r>
        <w:rPr>
          <w:rFonts w:eastAsia="Cambria Math" w:cs="Cambria Math" w:ascii="Cambria Math" w:hAnsi="Cambria Math"/>
        </w:rPr>
        <w:t>⎯</w:t>
      </w:r>
      <w:r>
        <w:rPr/>
        <w:t xml:space="preserve"> «Сторона», договорились заключить на одинаковых для всех условиях и в электронном виде договор (далее по тексту </w:t>
      </w:r>
      <w:r>
        <w:rPr>
          <w:rFonts w:eastAsia="Cambria Math" w:cs="Cambria Math" w:ascii="Cambria Math" w:hAnsi="Cambria Math"/>
        </w:rPr>
        <w:t>⎯</w:t>
      </w:r>
      <w:r>
        <w:rPr/>
        <w:t xml:space="preserve"> «</w:t>
      </w:r>
      <w:r>
        <w:rPr>
          <w:b/>
        </w:rPr>
        <w:t>Договор</w:t>
      </w:r>
      <w:r>
        <w:rPr/>
        <w:t>», «</w:t>
      </w:r>
      <w:r>
        <w:rPr>
          <w:b/>
        </w:rPr>
        <w:t>Публичная оферта</w:t>
      </w:r>
      <w:r>
        <w:rPr/>
        <w:t>») на нижеизложенных условиях.</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bookmarkStart w:id="2" w:name="_heading=h.1fob9te"/>
      <w:bookmarkEnd w:id="2"/>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ТЕРМИНЫ И ОПРЕДЕЛЕНИЯ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bookmarkStart w:id="3" w:name="_heading=h.3znysh7"/>
      <w:bookmarkEnd w:id="3"/>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Авторизация</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предоставление прав доступа к Платформе после прохождения Пользователем процедуры аутентификации.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Агент</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Индивидуальный предприниматель «Новиков Андрей Валерьевич» (ОГРНИП 323508100472670; ИНН 713602742755), исполняющий агентское поручение по покупке товаров на Маркетплейсах и (или) услуг третьих лиц – партнеров для Пользователя, от своего имени, но в интересах и за счет Клиента, с использованием функционала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Агентское вознаграждение</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 сумма денежных средств, уплачиваемая Пользователем за совершение Агентом от своего имени, но в интересах и за счет Пользователя юридических и иных действий в соответствии с оформленным Заказом, направленных на покупку товаров на Маркетплейсах. </w:t>
      </w:r>
    </w:p>
    <w:p>
      <w:pPr>
        <w:pStyle w:val="Normal"/>
        <w:keepNext w:val="false"/>
        <w:keepLines w:val="false"/>
        <w:pageBreakBefore w:val="false"/>
        <w:widowControl/>
        <w:numPr>
          <w:ilvl w:val="1"/>
          <w:numId w:val="2"/>
        </w:numPr>
        <w:shd w:val="clear" w:fill="auto"/>
        <w:spacing w:lineRule="auto" w:line="259"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Акцепт</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полное и безоговорочное принятие Пользователем условий Публичной оферты путем совершения одного или нескольких конклюдентных действий (</w:t>
      </w:r>
      <w:r>
        <w:rPr>
          <w:rFonts w:eastAsia="Times New Roman" w:cs="Times New Roman"/>
          <w:b w:val="false"/>
          <w:i w:val="false"/>
          <w:caps w:val="false"/>
          <w:smallCaps w:val="false"/>
          <w:strike w:val="false"/>
          <w:dstrike w:val="false"/>
          <w:color w:val="000000"/>
          <w:position w:val="0"/>
          <w:sz w:val="22"/>
          <w:sz w:val="22"/>
          <w:szCs w:val="22"/>
          <w:u w:val="single"/>
          <w:shd w:fill="auto" w:val="clear"/>
          <w:vertAlign w:val="baseline"/>
        </w:rPr>
        <w:t>если Пользователь – физическое лицо</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p>
    <w:p>
      <w:pPr>
        <w:pStyle w:val="Normal"/>
        <w:keepNext w:val="false"/>
        <w:keepLines w:val="false"/>
        <w:pageBreakBefore w:val="false"/>
        <w:widowControl/>
        <w:numPr>
          <w:ilvl w:val="0"/>
          <w:numId w:val="5"/>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активация флажка («чекбокса») в контрольном пункте специальной формы на Платформе: «Я ознакомлен (-на) и согласен (-на) с Публичной офертой и Политикой конфиденциальности, даю свое согласие на обработку моих персональных данных»; </w:t>
      </w:r>
    </w:p>
    <w:p>
      <w:pPr>
        <w:pStyle w:val="Normal"/>
        <w:keepNext w:val="false"/>
        <w:keepLines w:val="false"/>
        <w:pageBreakBefore w:val="false"/>
        <w:widowControl/>
        <w:numPr>
          <w:ilvl w:val="0"/>
          <w:numId w:val="5"/>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Регистрация на Платформе;</w:t>
      </w:r>
    </w:p>
    <w:p>
      <w:pPr>
        <w:pStyle w:val="Normal"/>
        <w:keepNext w:val="false"/>
        <w:keepLines w:val="false"/>
        <w:pageBreakBefore w:val="false"/>
        <w:widowControl/>
        <w:numPr>
          <w:ilvl w:val="0"/>
          <w:numId w:val="5"/>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Оплата стоимости Тарифного плана. Указанные конклюдентные действия, совершенные Пользователем по отдельности или в совокупности, имеют для сторон юридическую силу его письменного согласия на заключение Договора.</w:t>
      </w:r>
    </w:p>
    <w:p>
      <w:pPr>
        <w:pStyle w:val="Normal"/>
        <w:keepNext w:val="false"/>
        <w:keepLines w:val="false"/>
        <w:pageBreakBefore w:val="false"/>
        <w:widowControl/>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single"/>
          <w:shd w:fill="auto" w:val="clear"/>
          <w:vertAlign w:val="baseline"/>
        </w:rPr>
        <w:t>Если Пользователь – юридическое лицо</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Акцепт Публичной оферты осуществляется путем:</w:t>
      </w:r>
    </w:p>
    <w:p>
      <w:pPr>
        <w:pStyle w:val="Normal"/>
        <w:keepNext w:val="false"/>
        <w:keepLines w:val="false"/>
        <w:pageBreakBefore w:val="false"/>
        <w:widowControl/>
        <w:numPr>
          <w:ilvl w:val="0"/>
          <w:numId w:val="4"/>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обмена подписанными экземплярами Договора в электронной системе документооборота;</w:t>
      </w:r>
    </w:p>
    <w:p>
      <w:pPr>
        <w:pStyle w:val="Normal"/>
        <w:keepNext w:val="false"/>
        <w:keepLines w:val="false"/>
        <w:pageBreakBefore w:val="false"/>
        <w:widowControl/>
        <w:numPr>
          <w:ilvl w:val="0"/>
          <w:numId w:val="4"/>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использования сторонами квалифицированной электронной подписи;</w:t>
      </w:r>
    </w:p>
    <w:p>
      <w:pPr>
        <w:pStyle w:val="Normal"/>
        <w:keepNext w:val="false"/>
        <w:keepLines w:val="false"/>
        <w:pageBreakBefore w:val="false"/>
        <w:widowControl/>
        <w:numPr>
          <w:ilvl w:val="0"/>
          <w:numId w:val="4"/>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обмена Сторонами подписанных экземпляров по адресам, определенным по соглашению сторон.</w:t>
      </w:r>
    </w:p>
    <w:p>
      <w:pPr>
        <w:pStyle w:val="Normal"/>
        <w:ind w:left="0" w:hanging="0"/>
        <w:jc w:val="both"/>
        <w:rPr/>
      </w:pPr>
      <w:r>
        <w:rPr/>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Аутентификация</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процедура проверки подлинности авторизационных данных путем сравнения введенного адреса электронной почты и пароля с адресом электронной почты и паролем, сохраненным в системе безопасности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Заказ</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сформированное с помощью функционала Платформы поручение Пользователя для Агента по покупке товаров на Маркетплейсах и (или) услуг третьих лиц – партнеров для Пользователя, содержащее условия его исполнения (правила выкупа) и (или) наименование, объем и количество необходимых к покупке услуг, наименование, описание и артикул товаров, цену (стоимость) покупки товаров и (или) услуг, адрес доставки товаров, сформированную Агентом по результатам обработки информации сумму агентского вознаграждения и расходов Агента, связанных с исполнением агентского поручения, что является неотъемлемой частью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Заявка</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сформированное с помощью функционала Платформы поручение Пользователя для Агента содержащее намерение использовать функциональные возможности (сервисы) Платформы в рамках оплаченного Тарифного плана, что является неотъемлемой частью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Личный кабинет</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специальный раздел Платформы, позволяющий получить доступ к сервисам Платформы и иной информации об учетной записи, а также непосредственно использовать функциональные возможности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Логин</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уникальная символьная комбинация, в качестве которой может использоваться адрес электронной почты или контактный номер (моб.), необходимая для аутентификации и авторизации Пользователя на Платформе, являющаяся идентификатором Пользователя для входа в Личный кабинет.</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Маркетплейс</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интернет-магазин электронной торговли, обеспечивающий возможность приобретения товаров и услуг для неограниченного круга лиц.</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Пароль</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секретный набор символов, не подлежащих разглашению третьим лицам, определяемых и вводимых в паре с логином Пользователем (или Агентом в автоматическом режиме, в том числе SMS-коды, коды активации и т. д.) на Платформе в момент прохождения процедуры аутентификации и авторизации учетной записи. Агент вправе установить ограничения к содержанию пароля (минимальное количество символов, знаков, формат, кодировка, безопасность).</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Платформа</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совокупность баз данных и программ для ЭВМ, включая обновления к ним и дополнительные функциональные возможности, представленные в объективной форме совокупностью данных и команд, активируемых для получения Пользователем определенного результата, а также порождаемые ими графические, аудиовизуальные и информационные материалы, содержащиеся в информационной системе, доступ к которой обеспечивается посредством сети «Интернет» по постоянному URL адресу: https://app.marketmonstr.pro, включая все уровни указанного домена, как действующие, так и вводимые в эксплуатацию в течении всего срока его действия, а также исходящие от него страницы («лендинги»). Платформа предназначена для функционирования ЭВМ и других компьютерных устройств, позволяет Пользователю использовать набор программных инструментов для торговли на Маркетплейсах, а также направлять агентские поручения в целях покупки товаров и услуг третьих лиц – партнеров для продвижения товаров на Маркетплейсах.</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Пользователь</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(«Клиент») — зарегистрированное физическое лицо (в качестве индивидуального предпринимателя или физическое лицо, выплачивающее налог на профессиональный доход) или юридическое лицо, созданное в соответствии с законодательством Российской Федерации, в лице своего уполномоченного представителя, обладающего достаточным объемом прав и полномочий, совершивший Акцепт и осуществляющий использование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Публичная оферта</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официальное предложение Агента, которое содержит все существенные условия Договора, адресованное к неограниченному кругу физических и юридических лиц, в целях заключения с ними Договора на одинаковых для всех, заранее установленных условиях.</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Регистрация</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совокупность действий Пользователя, с использованием специальной формы интерфейса Платформы, включая предоставление сведений о себе и иной информации, в целях создания учетной записи, формирования Личного кабинета и получения доступа к сервисам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Сервисы</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функциональные возможности, службы, инструменты, доступные Пользователю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Служба заботы</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служба технической поддержки Платформы, осуществляющая свою деятельность в период с 09:00 по 17:00 в будние дни по UTC +3 (Московское время).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Тарифный план</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 установленный Агентом размер лицензионного вознаграждения (роялти) за право использования Платформы в зависимости от ключевых параметров прав доступа (пределов, объема, способов, сервисов и сроков использования Платформы), предоставленных Пользователю по его выбору. Разновидности Тарифного плана круглосуточно опубликованы Агентом в свободном доступе на Платформе для неограниченного круга лиц и являются неотъемлемой частью Договора. В условиях Тарифного плана под периодом «месяц» понимается 30 календарных дней, под периодом «год» – 365 дней, «бессрочно» - неограниченный срок действия, но не более 366 дней. Пользователь может ознакомиться с Тарифным планом по следующему адресу: </w:t>
      </w:r>
      <w:hyperlink r:id="rId2">
        <w:r>
          <w:rPr>
            <w:rStyle w:val="ListLabel21"/>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t>https://app.marketmonstr.pro/tariffs</w:t>
        </w:r>
      </w:hyperlink>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Учётная запись</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хранимая в компьютерной системе уникальная совокупность регистрационных данных, необходимая для аутентификации и авторизации Пользователя на Платформе, содержащая информацию о Пользователе и купленном Тарифном плане, предоставленных и израсходованных правах (пределах) доступа.</w:t>
      </w:r>
    </w:p>
    <w:p>
      <w:pPr>
        <w:pStyle w:val="Normal"/>
        <w:keepNext w:val="false"/>
        <w:keepLines w:val="false"/>
        <w:pageBreakBefore w:val="false"/>
        <w:widowControl/>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также является правообладателем Платформы, предоставляющим право использования ее функциональных возможностей за определенную Договором плату.</w:t>
      </w:r>
    </w:p>
    <w:p>
      <w:pPr>
        <w:pStyle w:val="Normal"/>
        <w:keepNext w:val="false"/>
        <w:keepLines w:val="false"/>
        <w:pageBreakBefore w:val="false"/>
        <w:widowControl/>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Размер Агентского вознаграждения установлен в Тарифных планах и не облагается НДС в связи с применением УСН (ст. 346.11 Налогового кодекса РФ).</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bookmarkStart w:id="4" w:name="_heading=h.2et92p0"/>
      <w:bookmarkEnd w:id="4"/>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Оплата по QR-коду</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оплата при помощи монохромного двухмерного штрихового кода, содержащего зашифрованную платежную информацию с использованием сервиса Системы Быстрых Платежей (далее – СБП) Банка России, позволяющей физическим и юридическим лицам производить оплату товаров и услуг дистанционным способом.</w:t>
      </w:r>
    </w:p>
    <w:p>
      <w:pPr>
        <w:pStyle w:val="Normal"/>
        <w:keepNext w:val="tru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ОБЩИЕ ПОЛОЖЕНИЯ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Порядок заключения Договора (Акцепт) зависит от правового статуса Пользователя. Если Пользователь является физическим лицом, заключение Договора осуществляется в момент принятия посетителем Платформы условий Публичной оферты путем совершения Акцепта (п. 2 ст. 437 Гражданского кодекса РФ, п. 3 ст. 438 Гражданского кодекса РФ), в результате чего, посетитель становится Пользователем, стороной Договора, заключенного с Агентом. Если Пользователь является юридическим лицом, заключение Договора (Акцепт) осуществляется посредством нескольких из перечисленных вариантов (вариант Акцепта настоящего Договора определяется по соглашению Сторон):</w:t>
      </w:r>
    </w:p>
    <w:p>
      <w:pPr>
        <w:pStyle w:val="Normal"/>
        <w:keepNext w:val="false"/>
        <w:keepLines w:val="false"/>
        <w:pageBreakBefore w:val="false"/>
        <w:widowControl/>
        <w:numPr>
          <w:ilvl w:val="0"/>
          <w:numId w:val="3"/>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Акцепт Публичной оферты с помощью электронной системы документооборота (далее по тексту </w:t>
      </w:r>
      <w:r>
        <w:rPr>
          <w:rFonts w:eastAsia="Cambria Math" w:cs="Cambria Math" w:ascii="Cambria Math" w:hAnsi="Cambria Math"/>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ЭДО);</w:t>
      </w:r>
    </w:p>
    <w:p>
      <w:pPr>
        <w:pStyle w:val="Normal"/>
        <w:keepNext w:val="false"/>
        <w:keepLines w:val="false"/>
        <w:pageBreakBefore w:val="false"/>
        <w:widowControl/>
        <w:numPr>
          <w:ilvl w:val="0"/>
          <w:numId w:val="3"/>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Акцепт Публичной оферты с помощью использования сторонами квалифицированной электронной подписи (КЭП);</w:t>
      </w:r>
    </w:p>
    <w:p>
      <w:pPr>
        <w:pStyle w:val="Normal"/>
        <w:keepNext w:val="false"/>
        <w:keepLines w:val="false"/>
        <w:pageBreakBefore w:val="false"/>
        <w:widowControl/>
        <w:numPr>
          <w:ilvl w:val="0"/>
          <w:numId w:val="3"/>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Акцепт Публичной оферты посредством обмена Сторонами подписанных экземпляров по адресам, определенным по соглашению сторон.</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Совершение Акцепта подтверждает, что Пользователь имеет собственное волеизъявление на заключение Договора, предварительно ознакомился с функционалом Платформы и положениями Публичной оферты, полностью и безоговорочно принимает все содержащиеся в ней условия в том виде, в котором они опубликованы на Платформе, без подписания ее письменного экземпляра, понимает правовую природу Договора, его содержание и существенные условия, а также правовые последствия заключения.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Публичная оферта может быть принята Пользователем исключительно в целом (п. 1 ст. 428 Гражданского кодекса РФ). Если Пользователь не согласен с условиями Публичной оферты в целом либо ее отдельными частями Агент призывает Пользователя не совершать Акцепт и не использовать Платформу, так как указанные правоотношения сторон регулируются положениями Публичной оферты, актуальная редакция которой опубликована Агентом на Платформе в разделе «Публичная оферта» на принципах круглосуточного и свободного доступа к ней для любого лица.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если Пользователь является лицом с частичной или ограниченной дееспособностью, Агент исходит из того, что Акцепт в его интересах совершен законным представителем, который имеет достаточный объем прав и полномочий действовать от его имени и в его интересах, а также ознакомился, полностью и безоговорочно согласился с условиями заключаемого Договора, изложенными в Публичной оферте.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если Пользователь использует Платформу в статусе юридического лица, Агент исходит из того, что Акцепт в его интересах совершен уполномоченным представителем, который имеет достаточный объем прав и полномочий действовать от его имени и в его интересах, а также ознакомился, полностью и безоговорочно согласился с условиями заключаемого Договора, изложенными в Публичной оферте.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Для целей толкования Договора стороны используют установленные в разделе 1 настоящей Публичной Оферты основные термины, если в его тексте прямо не указано иное. В тексте Договора эти термины могут быть использованы в другом падеже, в единственном или множественном числе, с маленькой или большой буквы, либо в виде сокращений.</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Договор может содержать иные термины при толковании которых принимается во внимание буквальное значение содержащихся в нем слов и выражений. Во всех иных случаях толкование терминов осуществляется в соответствии с законодательством Российской Федерации или установленными обычаями делового оборота (ст. 5 Гражданского кодекса РФ).</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Предложение о заключении Договора не может быть отозвано Пользователем самостоятельно и действует до даты его отзыва Агентом при условии фактической доступности и работоспособности Платформы, за исключением случаев, предусмотренных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Срок действия Договора исчисляется со дня совершения Акцепта и заканчивается на следующий день после окончания срока действия Тарифного плана, если исчерпание Пользователем предоставленных ему прав (пределов) доступа к Платформе не наступило ранее окончания срока действия Тарифного плана, за исключением случаев, если Тарифный план был оплачен Пользователем на новый срок. Кроме того, срок действия Договора в части предоставления права пользования Платформой не может быть больше срока действия исключительного права Агента на Платформу.</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Договор может быть изменен Агентом в одностороннем порядке в допустимых действующим законодательством пределах. Уведомление Пользователя о внесенных изменениях в Договор публикуется в Личном кабинете Пользователя. Указанные изменения в условиях Договора вступают в силу с даты их публикации, если иное не оговорено в соответствующей публикации. Пользователь обязан ознакомиться с действующей редакцией Договора при совершении очередного Заказа, либо при очередной авторизации на Сервисе. В случае, если одностороннее изменение Договора в силу закона недопустимо, то такие изменения вступают в силу для Пользователя при выражении им согласия любым способом, свидетельствующим об этом, в том числе, при совершении очередной оплаты Заказа, либо при очередном использовании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если одностороннее изменение Договора в силу закона недопустимо, то такие изменения вступают в силу для Пользователя при выражении им согласия любым способом, свидетельствующим об этом, в том числе, при совершении очередной оплаты Заказа, либо при очередном использовании Платформы.</w:t>
      </w:r>
    </w:p>
    <w:p>
      <w:pPr>
        <w:pStyle w:val="Normal"/>
        <w:keepNext w:val="false"/>
        <w:keepLines w:val="false"/>
        <w:pageBreakBefore w:val="false"/>
        <w:widowControl/>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 этом Пользователь подтверждает, что оформление Заказа на Платформе, очередная оплата Заказа, использование Платформы прямо свидетельствуют о его волеизъявлении на заключение Договора в новой версии.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Используя Платформу, Пользователь дает свое согласие на получение сообщений информационного и рекламного характера от Агента. Пользователь вправе отказаться от получения сообщений рекламного характера путем уведомления Агента через Личный кабинет (уведомление осуществляется через Службу заботы) или следуя инструкциям, указанным в полученном сообщении рекламного характера.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При использовании Пользователем Платформы Агент не является стороной заключаемых Пользователем Договоров с продавцами на Маркетплейсах. Агент предоставляет возможность ознакомится с материалами, размещенными на Платформе, возможность для оформления Заказа в рамках Платформы, а также иной функционал и услуги, как это определено в настоящей Публичной оферте, и несет ответственность исключительно в пределах Тарифного плана.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Агент не является уполномоченной организацией по смыслу Закона РФ от 07.02.1992 г. № 2300-1 «О защите прав потребителей», и не осуществляет рассмотрение и удовлетворение претензий Пользователей – физических лиц в отношении товаров ненадлежащего качества, Заказ которого (которых) оформлен Пользователем – физическим лицом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highlight w:val="white"/>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Агент не несет ответственность за содержание и/или актуальность информации, предоставляемой продавцом на Маркетплейсе о товаре, включая информацию о стоимости Товара и, сроках приготовления, а также наличии Товара в данный момент.</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highlight w:val="white"/>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Агент не несет ответственность за организацию забора, хранения, сортировки, упаковки, отгрузки и доставки товаров, купленных от своего имени, но в интересах и за счет Пользователя.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Пользователь не вправе использовать более одной учетной записи при использовании Платформы в целях получения необоснованной выгоды, неосновательного обогащения, а также в иных целях, свидетельствующих о недобросовестных намерениях пользователя. В случае выявления Агентом обстоятельств, свидетельствующих о нарушении Пользователем указанного в настоящем пункте условия, Агент вправе немедленно расторгнуть настоящий Договор с Пользователем.</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ПРЕДМЕТ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рамках настоящего Договора агент оказывает две категории услуг:</w:t>
      </w:r>
    </w:p>
    <w:p>
      <w:pPr>
        <w:pStyle w:val="Normal"/>
        <w:keepNext w:val="false"/>
        <w:keepLines w:val="false"/>
        <w:pageBreakBefore w:val="false"/>
        <w:widowControl/>
        <w:numPr>
          <w:ilvl w:val="0"/>
          <w:numId w:val="7"/>
        </w:numPr>
        <w:shd w:val="clear" w:fill="auto"/>
        <w:spacing w:lineRule="auto" w:line="259" w:before="120" w:after="120"/>
        <w:ind w:left="0" w:right="0" w:hanging="0"/>
        <w:jc w:val="both"/>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услуги Агента по совершению от своего имени, но в интересах и за счет Пользователя юридических и иных действий в соответствии с оформленным Заказом, направленных на покупку товаров на Маркетплейсах (далее по тексту – «Агентские услуги»);</w:t>
      </w:r>
    </w:p>
    <w:p>
      <w:pPr>
        <w:pStyle w:val="Normal"/>
        <w:keepNext w:val="false"/>
        <w:keepLines w:val="false"/>
        <w:pageBreakBefore w:val="false"/>
        <w:widowControl/>
        <w:numPr>
          <w:ilvl w:val="0"/>
          <w:numId w:val="7"/>
        </w:numPr>
        <w:shd w:val="clear" w:fill="auto"/>
        <w:spacing w:lineRule="auto" w:line="259" w:before="120" w:after="120"/>
        <w:ind w:left="0" w:right="0" w:hanging="0"/>
        <w:jc w:val="both"/>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услуги по предоставлению права пользования Платформой (далее по тексту – «Услуги по предоставлению ПО»).</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порядке и на условиях, определенных Договором, Агент принимает на себя обязательство от своего имени, но в интересах и за счет Пользователя, совершить юридические и иные действия в соответствии с оформленным Заказом, направленные на покупку товаров на Маркетплейсах, а Клиент обязуется принять от Агента исполненное и уплатить ему агентское вознаграждение (комиссию) за исполнение поручения.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с помощью функциональных возможностей Платформы, поручает Агенту заключить и исполнить договоры о приобретении товаров, за счет полученных от Клиента денежных средств оплатить эти товары,  в зависимости от содержания оформленного Заказа, необходимые для исполнения поручения.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Денежные средства, составляющие бюджет выкупа товаров и услуг, необходимых для исполнения агентского поручения, передаются Агенту, действующему от своего имени, но в интересах и за счет Клиента. Указанные денежные средства не являются доходом Агента, а являются денежными средствами Клиента, которые могут быть израсходованы Агентом исключительно в целях исполнения агентского поручения.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Оформление Заказа с помощью функционала Платформы возможно только для зарегистрированных Клиентов, с действующим Тарифным планом, который включает в себя сервисы, необходимые для оформления Заказа, при условии достаточного остатка ключевых параметров прав доступа к Платформе, а также с положительным внутренним балансом Личного кабинета, в размере, исходя из количества товаров и (или) услуг, подлежащих выкупу Агентом.</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Условия покупки товаров и (или) услуг зависит от выбранных Клиентом параметров (объема), согласованных сторонами в Заказе.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Срок исполнения поручения 15 (пятнадцать) календарных дней с момента согласования сторонами Заказа, если иной срок не определен в Заказе. Указанный срок приостанавливает свое исчисление в выходные и праздничные дни, во время нахождения товаров в пути при транспортировке, отсутствия ответа от службы поддержки Маркетплейса (при необходимости получить такой ответ), а также на период неисполнения Клиентом своих встречных обязательств перед Агентом.</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Обязательство Агента приступить к исполнению агентского поручения возникает с момента уплаты Клиентом стоимости Заказа и считается исполненными надлежащим образом с момента присвоения Заказу статуса исполненного, о чем Клиент уведомляется посредством функционала Платформы, при условии, что от Клиента не поступило мотивированных претензий в течение 10 (десяти) календарных дней.</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Услуг по предоставлению ПО:</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порядке и на условиях предусмотренных Договором, Агент предоставляет Пользователю разрешение использовать Платформу в части активированных и неактивированных данных и команд, в рамках ее функциональных возможностей и предоставленных прав (пределов) доступа согласно оплаченного Тарифного плана, на условиях простой (неисключительной) лицензии, а Пользователь обязуется уплатить Агенту лицензионное вознаграждение (роялти) и использовать Платформу в пределах оплаченного Тарифного плана.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Право использования Платформы предоставляется Пользователю в пределах территории Российской Федерации, без права сублицензирования третьим лицам, в части базовых (активированных) данных и команд </w:t>
      </w:r>
      <w:r>
        <w:rPr>
          <w:rFonts w:eastAsia="Cambria Math" w:cs="Cambria Math" w:ascii="Cambria Math" w:hAnsi="Cambria Math"/>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на безвозмездной основе, в части дополнительных (неактивированных) данных и команд </w:t>
      </w:r>
      <w:r>
        <w:rPr>
          <w:rFonts w:eastAsia="Cambria Math" w:cs="Cambria Math" w:ascii="Cambria Math" w:hAnsi="Cambria Math"/>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на возмездной основе в размере стоимости выбранного Тарифного плана, что позволяет Пользователю использовать дополнительные, расширенные, специальные программные возможности Платформы в соответствии с перечнем данных и команд, указанном на Платформе.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Способы использования Платформы, предоставляемые Пользователю: право на воспроизведение на компьютерном устройстве или смартфоне, возможность активации функций и изменения настроек в пределах, доступных в Личном кабинете, право на адаптацию, внесение изменений, осуществляемых в пределах функциональных возможностей Платформы в целях получения определенного результата на конкретном устройстве.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предоставляет Пользователю удаленный доступ к Платформе с помощью сети «Интернет» в течение 24 часов с момента покупки Тарифного плана. Обязательства по предоставлению права использования Платформы в части дополнительных (неактивированных) данных и команд считаются исполненными Агентом и принятыми Пользователем без претензий с момента фактического предоставления доступа к Платформе в пределах оплаченного Тарифного плана, при условии отсутствия мотивированных претензий, заявленных Пользователем в течение 10 (десяти) календарных дней с момента предоставления доступа.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Пределы использования Платформы ограничены «правом на использование», а доступ к ее сервисам и функциональным возможностям предоставляется Агентом в состоянии «как есть», без гарантийных обязательств или какой-либо обязанности по устранению недостатков и усовершенствования Платформы, а использование Платформы возможно только в тех пределах, которые установила Агент, если иное не предусмотрено специальными льготными условиями.</w:t>
      </w:r>
    </w:p>
    <w:p>
      <w:pPr>
        <w:pStyle w:val="Normal"/>
        <w:keepNext w:val="tru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bookmarkStart w:id="5" w:name="_heading=h.tyjcwt"/>
      <w:bookmarkEnd w:id="5"/>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ПРАВА И ОБЯЗАННОСТИ СТОРОН</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 Пользователь вправе: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любое время запрашивать информацию о ходе исполнения агентского поручения, не вмешиваясь при этом в оперативно-хозяйственную деятельность Агента и получать ответ на свой запрос в срок 5 (пять) календарных дней.</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Отказаться от Заказа только в случае изменения Агентом в одностороннем порядке его условий, первоначально согласованных сторонами. Клиент не имеет права отказаться от исполнения Договора после непосредственного исполнения Агентом поручения, в противном случае, Клиент обязан возместить Агенту все расходы и понесенные в связи с отказом убытки</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Реализовать иные свои права,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 Пользователь обязан:</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Своевременно оплатить полную стоимость Заказа по предварительной оплате (авансом).</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Принять исполненное Агентом в день уведомления о готовности, но не позднее 3 (трех) календарных дней с момента оповещения, если иное не определено по соглашению сторон.</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Сообщить Агенту о ненадлежащем исполнении поручения в течение 10 (десяти) календарных дней с момента исполнения агентского поручения.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Обеспечить Агента всей необходимой и достоверной информацией (сведениями, данными) в целях исполнения агентского поручения. Отвечать на запросы Агента о предоставление дополнительной информации, или материалов необходимых для исполнения агентского поручения, в течение 1 (одного) календарного дня после получения запроса.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Самостоятельно обеспечить для себя программно-техническую возможность получения доступа к сети «Интернет» и Платформе.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Самостоятельно организовать забор, доставку товаров, приобретенных за его счет и в его интересах Агентом на Маркетплейсах. При согласии Агента и интересе Пользователя Стороны могут заключить отдельное Дополнительное Соглашение к настоящему Договору, детально регулирующие забор и доставку указанных в настоящем пункте товаров.</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Выполнить иные свои обязательства,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 Агент вправе: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Привлекать третьих лиц без согласования с Клиентом путем заключения субагентского договора с другим лицом. В случае заключения субагентского договора ответственным за действия субагента перед Клиентом остается Агент.</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Самостоятельно производить поиск и выбирать третьих лиц – партнеров для заключения соответствующих договоров на покупку услуг от своего имени, но в интересах и за счет Клиента.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Отступить от указаний Клиента, если по обстоятельствам дела это необходимо в интересах Клиента и Агент не мог предварительно запросить Клиента либо не получил в течение 1 (одного) календарного дня ответа на свой запрос.</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Получать от Клиента разъяснения по всем вопросам, возникающим в ходе исполнения агентского поручения и любую дополнительную информацию, необходимую для выполнения своих обязательств по Договору.</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Размещать в любых источниках скриншоты (содержание) отзыва Клиента в рекламных целях по продвижению своей деятельности.</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Реализовать иные свои права,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 Агент обязан:</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Исполнить данное ему агентское поручение в соответствии с Заказом на наиболее выгодных для Клиента условиях. По общему правилу, исполнение агентского поручения на условиях, отличающихся от согласованных в Заказе, допускается только с согласия Клиента, полученного посредством направления Агенту электронного сообщения с помощью предусмотренных Договором средств для связи.</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Выполнить иные свои обязательства,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рамках оказания Услуг по предоставлению ПО Пользователь вправе: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Получить доступ к использованию Платформы в установленном Агентом порядке.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Обращаться к Агентом в целях получения информационной или технической поддержки по вопросам, связанным с использованием Платформы и исполнением своих обязанностей по Договору.</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Пользоваться Платформой исключительно в целях и порядке, предусмотренных Договором и не запрещенных законодательством Российской Федерации.</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Реализовать иные свои права,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рамках оказания Услуг по предоставлению ПО Пользователь обязан:</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Уплатить лицензионное вознаграждение (роялти) за предоставление права использования Платформы на условиях полной предоплаты в размере цены выбранного Тарифного плана.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Самостоятельно обеспечить для себя программно-техническую возможность использования Платформы.</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Использовать Платформу в рамках ее функциональных возможностей и установленных пределов, в соответствии с купленным Тарифным планом.</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Контролировать входящую электронную корреспонденцию по адресу электронной почты, указанному Пользователем при регистрации на Платформе, поддерживать обратную связь с Агентом по вопросам, требующим ответа.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распространять конфиденциальную и охраняемую законодательством Российской Федерации информацию о физических либо юридических лицах, которая стала доступна Пользователю посредством использования Платформы.</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выдавать себя за другое лицо, не предоставлять Агенту недостоверные данные и документы о себе либо персональные данные и иную конфиденциальную информацию третьих лиц без их согласия, оформленного в установленном законом порядке.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передавать права доступа к Платформе в пользование третьим лицам любым способом без письменного согласия Агента.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использовать устройства, программы, процедуры, алгоритмы и методы, автоматические устройства или эквивалентные ручные процессы для доступа, приобретения, копирования или отслеживания содержания Платформы, включая, но не ограничиваясь, использованием инструментов фальсификации своего IP-адреса, а также адресов, используемых в других сетевых протоколах, при передаче данных.</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нарушать систему безопасности и аутентификации на Платформе, не предпринимать любых иных действий программно-технического характера, которые могут рассматриваться Агентом как очевидно нарушающие нормальную работу и функционирование Платформы.</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обходить навигационную структуру Платформы, не обеспечивать себе иным способом несанкционированный доступ к закрытым разделам Платформы, которые правомерно не доступны для Пользователя.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использовать программный (исходный) код Платформы, какой-либо размещенный на ней контент (включая, но не ограничиваясь: текстовые материалы, элементы дизайна, графические изображения, фотографический и аудиовизуальные изображения) без предварительного письменного согласия Агента (в том числе путем воспроизведения, копирования, переработки или распространения в любом виде).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использовать Платформу и ее содержание в иных целях, запрещенных законодательством Российской Федерации, а также не подстрекать к такой незаконной деятельности третьих лиц.</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Выполнить надлежащим образом иные свои обязательства,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Услуг по предоставлению ПО Агент вправе: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Получить лицензионное вознаграждение (роялти) за предоставление права использования Платформы на условиях полной предоплаты в размере цены выбранного Тарифного плана.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нарушения условий Договора либо требований законодательства Российской Федерации, в любой момент отказать Пользователю в использовании Платформы и ограничить доступ вплоть до постоянной блокировки его учетной записи, в зависимости от тяжести и повторности допущенных нарушений.</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любое время пересматривать или изменять условия предоставления сервисов, дополнять, изменять, ограничивать, расширять функциональные возможности Платформы и (или) ее сервисов, в том числе условия доступа Пользователя к сервисам или отдельным функциональным возможностям Платформы.</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Временно ограничить доступ к Платформе по техническим, технологическим или иным причинам на срок, необходимый для проведения профилактических работ в программном аппаратном комплексе Платформы или устранения препятствий в ее использовании. Агент будет стремиться проводить такие работы по возможности в ночное время и максимально сокращая время неработоспособности Платформы. Возможна приостановка работы Платформы без какого-либо заблаговременного уведомления Пользователя.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любое время без предварительного уведомления и без объяснения причин удалить любую информацию и материалы, размещаемые Пользователем, если характер или содержание этой информации нарушает действующее законодательство Российской Федерации, носит оскорбительный характер, нарушает права и законные интересы Агента, Пользователей или иных (третьих) лиц.</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Реализовать иные свои права,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Услуг по предоставлению ПО Агент обязан:</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Предоставить Пользователю право использования Платформы в пределах купленного Тарифного плана.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Обеспечить надлежащее функционирование Платформы и защиту персональных данных Пользователя.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Обеспечить информационную и техническую поддержку по вопросам, связанным с использованием Платформы и исполнением своих обязанностей в период с 09:00 по 17:00 в будние дни по UTC +3 (Московское время), если иное не указано на Платформе.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Выполнить надлежащим образом иные свои обязательства, предусмотренные Договором и законодательством Российской Федерации.</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РЕГИСТРАЦИЯ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bookmarkStart w:id="6" w:name="_heading=h.3dy6vkm"/>
      <w:bookmarkEnd w:id="6"/>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целях реализации Пользователем возможности получения доступа и использования Платформы в полном объеме, требуется добровольная регистрация учетной записи. Регистрация осуществляется Пользователем путем заполнения обязательных полей в специальной форме окна регистрации, активации специального флажка «чекбокса» в контрольном пункте и нажатия на кнопку с соответствующей функциональной возможностью.</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Для юридических и физических лиц предусмотрены разные обязательные поля, упомянутые в пункте 5.1 настоящего Договора. Пользователь – физическое лицо обязан не регистрировать свой Личный кабинет от имени юридического лица. От Пользователя – юридического лица регистрирует учетную запись либо руководитель юридического лица, либо иное лицо, надлежащим образом уполномоченное Пользователем – юридическим лицом на регистрацию Личного кабинета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несет ответственность за полноту и достоверность вводимых регистрационных данных.</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После совершения указанных действий на адрес электронной почты (или контактный номер (моб.), указанный при регистрации учетной записи, направляется специальная ссылка (или SMS-код активации), которые Пользователь должен активировать (ввести) в целях подтверждения регистрации и активации учетной записи. С момента совершения вышеуказанных действий Пользователь считается успешно прошедшим процедуру добровольной регистрации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имеет право отказать Пользователю в регистрации на Платформе без объяснения причин в случае обнаружения недостоверности данных, предоставленных Пользователем, и (или) при использовании Пользователем данных другого зарегистрированного Пользователя, и (или) в случае бездействия Пользователя по подтверждению регистрации и активации учетной записи.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Последующий доступ к Личному кабинету предоставляется зарегистрированному Пользователю после его аутентификации и авторизации на Платформе, посредством введения логина и пароля, созданных при регистрации, в контрольном пункте специальной формы. В случае невозможности аутентификации на Платформе Пользователь вправе обратиться к Агенту с целью восстановления доступа к учетной записи. Окончательное решение о восстановлении доступа принимается Агентом исходя из причин невозможности произвести аутентификацию.</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Исключительно Пользователь несет ответственность за безопасность выбранных им логина и пароля, а также самостоятельно обеспечивает их конфиденциальность любыми удобными для него способами, которые, однако, обеспечат надлежащую защиту данной информации и соблюдение достаточных мер предосторожности.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обязан немедленно уведомить Агента о любом случае неразрешенного Пользователем доступа к Платформе с использованием Личного кабинета и (или) о любом нарушении и (или) подозрении о нарушении конфиденциальности своих средств доступа к Личному кабинету, а также обо всех видах сбоев и недочетах работы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Исключительно Пользователь обязан осуществлять безопасное завершение работы по окончании каждой сессии работы с Личным кабинетом. Агент не отвечает за возможное удаление, уничтожение или изменение данных учетной записи, а также другие последствия любого характера, которые могут произойти из-за нарушения Пользователем разумных мер предосторожности.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Предполагается, что все действия на Платформе, совершаемые через Личный кабинет Пользователя, считаются выполненными от его имени и в его интересах, за исключением случаев, когда Пользователь уведомил Агента о несанкционированном доступе к Платформе с использованием его Личного кабинета третьими лицами, и (или) о любом нарушении и (или) подозрении о нарушении конфиденциальности своих средств доступа к Личному кабинету, и такая информация подтвердилась.</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Удаление учетной записи Пользователя осуществляется Агентом по обращению Пользователя, а также в случае расторжения Договора и иных установленных Договором случаях, что влечет за собой ограничение или полное прекращения доступа к сервисам Платформы.</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0"/>
          <w:szCs w:val="20"/>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ИСПОЛЬЗОВАНИЕ ФУНКЦИОНАЛА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bookmarkStart w:id="7" w:name="_heading=h.1t3h5sf"/>
      <w:bookmarkEnd w:id="7"/>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может оформить Заявку на использование сервисов Платформы или Заказ для Агента с использованием личного кабинета Платформы. Сервисы Платформы включают в себя специальные программные возможности, перечень которых опубликован на Платформе. При внедрении дополнительных (новых) программных модулей, на их использование распространяются условия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В случае оформления Пользователем Заказа для Агента, Агент получает информацию об оформленном Заказе посредством автоматических функций Платформы.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Оформляя заявку на Платформе, Пользователь соглашается на получение электронных писем, сообщений (SMS) на телефонные номера, указанные в Личном кабинете, и (или) push-уведомлений, которые Платформа может автоматически направлять Пользователю. Пользователь также соглашается на получение звонков с предложением оценить качество работы Платформы на телефонные номера, указанные в Личном кабинете Пользователя.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Правоотношения сторон и имущественные отношения, связанные с исполнением Агентом оформленных Заказов (на посреднические услуги Агента по исполнению выданного Пользователем поручения), заключением, изменением и исполнением агентского договора в части, неурегулированной настоящим Договором, регулируются агентским договором, заключаемым между Пользователем и Агентом посредством Акцепта Публичной оферты о заключении агентского договора, опубликованной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несет ответственности за действия или бездействие третьих лиц при исполнении Заявки или Заказа.</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ВОЗНАГРАЖДЕНИЕ И ВЗАИМОРАСЧЕТЫ СТОРОН</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Пользователь обязуется уплатить Агенту вознаграждение (роялти) за использование функционала Платформы, в части дополнительных (неактивированных) данных и команд, в безналичном порядке по предварительной оплате (авансом) в размере 100% от цены выбранного Тарифного плана.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Способы уплаты вознаграждения зависят от правового статуса Пользователя: является ли он юридическим или физическим лицом.</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 физическое лицо уплачивает вознаграждение Агенту с помощью личного кабинета, раздел «Баланс». Оплата осуществляется с помощью QR – кода, формирующегося в Личном кабинете Пользователя на Платформе. Суть механизма уплаты установлена в пункте 1.20. настоящего Договора. При уплате вознаграждения Агентом применяется контрольно-кассовая техника в соответствии с Федерального закона от 22.05.2003 N 54-ФЗ «О применении контрольно-кассовой техники при осуществлении расчетов в Российской Федерации» (далее по тексту – «Онлайн - касса»). По итогам осуществления уплаты установленного в настоящем пункте вознаграждения, Пользователю – физическому лицу выдают чек, который появляется в Личном кабинете Пользователя.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 юридическое лицо может уплачивать вознаграждение Агенту одним из указанных ниже способов:</w:t>
      </w:r>
    </w:p>
    <w:p>
      <w:pPr>
        <w:pStyle w:val="Normal"/>
        <w:keepNext w:val="false"/>
        <w:keepLines w:val="false"/>
        <w:pageBreakBefore w:val="false"/>
        <w:widowControl/>
        <w:numPr>
          <w:ilvl w:val="0"/>
          <w:numId w:val="8"/>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Оплата осуществляется с помощью личного кабинета, раздел «Баланс». Оплата осуществляется с помощью QR – кода, формирующегося в Личном кабинете Пользователя на Платформе. Суть механизма уплаты установлена в пункте 1.20. настоящего Договора. Уплата в таком случае производится банковской карты, оформленной на расчетный счет Пользователя – юридического лица. После уплаты вознаграждения Агенту в Личном кабинете Пользователя появятся соответствующие документы, подтверждающие уплату.</w:t>
      </w:r>
    </w:p>
    <w:p>
      <w:pPr>
        <w:pStyle w:val="Normal"/>
        <w:keepNext w:val="false"/>
        <w:keepLines w:val="false"/>
        <w:pageBreakBefore w:val="false"/>
        <w:widowControl/>
        <w:numPr>
          <w:ilvl w:val="0"/>
          <w:numId w:val="8"/>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Оплата осуществляется с помощью личного кабинета, раздел «Оформление заказа». Оплата осуществляется с помощью перевода денежных средств с расчетного счета Пользователя – юридического лица на расчетный счет Агента по реквизитам, указанным в окне пополнения раздела «Оформление заказа».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вправе в одностороннем порядке устанавливать иные способы уплаты лицензионного вознаграждения (роялти) на Платформе, в том числе с помощью банковской рассрочки или кредита в рамках партнерского соглашения с финансовым учреждением. В этом случае общая цена Договора может быть увеличена на сумму процентов (комиссии), установленных банком (иным финансовым учреждением) в рамках предоставленной рассрочки платежа или выданных кредитных средств, если иное не предусмотрено условиями специальной акции Агента, опубликованной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Условия банковской рассрочки или кредита регулируются исключительно договором, заключенным между Пользователем и партнерским финансовым учреждением Агента. Уплата лицензионного вознаграждения (роялти) с помощью банковской рассрочки или за счет кредитных средств возможна только после одобрения данной финансовой услуги партнерским финансовым учреждением Агента.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вправе в одностороннем порядке изменять стоимость Тарифного плана размещая актуальную информацию об этом на Платформе. После оплаты Пользователем стоимости выбранного Тарифного плана, новая стоимость для Пользователя, ранее его оплатившего, изменению не подлежит, и он продолжает пользоваться сервисами Платформы в течение всего оплаченного им срока действия Тарифного плана.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вправе предусмотреть для Пользователя льготные условия предоставления доступа к Платформе, которые могут быть представлены: специальной акцией (скидки, распродажа), реферальной программой (промокодом или ссылкой), иными индивидуальными условиями на усмотрение Агента. Указанные предложения ограничены сроком их действия, о чем Агент информирует Пользователя посредством Платформы или иных средств связи.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Обязательство Пользователя по уплате Агенту лицензионного вознаграждения (роялти) за использование функционала Платформы считается исполненным в момент зачисления денежных средств на расчетный счет Агента.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контролирует аппаратно-программный комплекс системы быстрых платежей Банка России и не несет ответственности за ошибки в части обработки платежа (отказ в принятии оплаты, отсутствие зачисления, двойное удержание денежных средств и др.), однако содействует Пользователю в рамках доступных ему возможностей в целях разрешения возникших спорных ситуации.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при совершении платежа обязан использовать банковскую карту, оформленную на себя лично, в случае если Пользователь – физическое лицо, либо банковскую карту, привязанную к расчётному счету юридического лица, если Пользователь - юридическое лицо. Если оплату в интересах Пользователя совершает иное лицо, в назначении платежа должно быть указано ФИО (наименование) лица, в интересах которого осуществляется платеж, а также основание, по которому это лицо осуществило платеж. Агент вправе затребовать документ, подтверждающий полномочия такого лица на осуществление платежа. В случае невыполнения указанного требования Агент вправе запросить от Пользователя квитанцию, платежное поручение или иной платежный документ, в целях подтверждения факта совершения оплаты.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окончания срока действия Тарифного плана или исчерпания Пользователем предоставленных ему прав (пределов) доступа к Платформе, отсутствия оплаты стоимости Тарифного плана на новый срок, доступ к Платформе в части дополнительных (неактивированных) данных и команд автоматически прекращается (ограничивается) до момента оплаты Тарифного плана на новый срок.</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УСЛОВИЯ ВОЗВРАТА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Внесение лицензионного вознаграждения (роялти) в пользу Агента осуществляется Пользователем за право использования функциональных возможностей Платформы в части дополнительных (неактивированных) данных и команд. Прекращение использования Платформы не является основанием для возврата Пользователю денежных средств, уплаченных в качестве вознаграждения, как использованной его части, так и не использованной, в силу ч. 4 ст. 453 Гражданского кодекса РФ, которая применяется к данным правоотношениям на основании ч. 2 ст. 1233 Гражданского кодекса РФ.</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вправе получить возврат денежных средств, уплаченных в качестве вознаграждения за предоставление права использования функциональных возможностей Платформы, в случае ненадлежащего исполнения Агента своих обязательств по Договору и (или) до момента предоставления ему доступа к Платформе в части дополнительных (неактивированных) данных и команд.</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остальных случаях Пользователь не имеет права требовать от Агента возврата того, что было исполнено ею в соответствии с Договором. В случае надлежащего предоставления Пользователю доступа к функциональным возможностям Платформы, возврат денежных средств, уплаченных в качестве лицензионного вознаграждения (роялти), не производится. В исключительных (индивидуальных) случаях возврат денежных средств может быть произведен по уважительным причинам на усмотрение Агента.</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РАЗРЕШЕНИЕ СПОРОВ</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Стороны будут стремиться разрешать все свои разногласия, претензии и требования друг к другу путем переговоров. Пользователь перед обращением в суд, государственный орган, организацию по защите прав потребителей или перед совершением публикаций в СМИ или социальных сетях вправе направить Агенту претензию (которая может быть направлена и посредством функционала Платформы), которую Агент обязан рассмотреть и удовлетворить или мотивированно отказать в удовлетворении в течение 30 календарных дней с даты получения.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Любой спор, разногласие или претензия, связанные с настоящим Договором или вытекающей из него, разрешаются судом в соответствии с законодательством.</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ОТВЕТСТВЕННОСТЬ СТОРОН</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Стороны несут гражданско-правовую ответственность за неисполнение или ненадлежащее исполнение принятых на себя обязательств по Договору, а также иные виды ответственности в соответствии с применимым законодательством, в зависимости от вида и степени допущенного нарушения, иного действия (бездействия).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несет ответственности за несоответствие Платформы ожиданиям Пользователя, за его субъективную (отрицательную) оценку ее возможностей и полученные от ее использования результаты, если они не оправдали его ожиданий. Указанные обстоятельства ни при каких условиях не могут являться основанием считать предоставление доступа и права использования Платформы ненадлежащим.</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несет ответственности за несовместимость пользовательского устройства с Платформой и за невозможность ее использования в связи с этим. Агент не принимает на себя обязательства по обеспечению Пользователя программно-техническими возможностями для использования Платформы. В случае если устройство Пользователя не позволяет ему использовать Платформу в полной мере или частично, Агент не несет каких-либо обязательств по возмещению (возврату) Пользователю стоимости Тарифного плана.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гарантирует круглосуточную и бесперебойную доступность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многократного или грубого нарушения условий Договора и (или) требований законодательства Агент оставляет за собой право заблокировать, ограничить, приостановить или полностью прекратить предоставление Пользователю доступа к Платформе, без компенсации Пользователю каких-либо убытков.</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привлечения Агента к ответственности или наложения на нее взыскания в связи с допущенными Пользователем нарушениями прав и (или) интересов третьих лиц, а равно установленных законодательством Российской Федерации запретов или ограничений, Пользователь обязан в полном объеме возместить убытки Агента.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осведомлен о негативном отношении Маркетплейсов к «самовыкупам» и искусственному повышению рейтинга. Агент не несет перед Пользователем ответственности за штрафы и иные удержания, возложенные на Пользователя со стороны Маркетплейса в связи с любыми операциями по искусственному повышению рейтинга, а также за блокировку карточек или Личного кабинета Пользователя.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Агент не несет ответственности за риск наступления неблагоприятных последствий в результате: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недостоверности информации, предоставленной Пользователями, в том числе сведений, составляющих данные Пользователей;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неправомерных действий третьих лиц, направленных на нарушение информационной безопасности или нормального функционирования Платформы;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сбоев в работе Платформы, вызванных ошибками в коде, компьютерными вирусами и иными посторонними фрагментами кода в программном обеспечении Платформы;</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отсутствия (невозможности установления, прекращения и пр.) интернет-соединений между сервером Пользователя и сервером, на котором расположена Платформа;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проведения государственными и муниципальными органами либо их должностными лицами, а также иными уполномоченными организациями мероприятий, проверок или иных действий в рамках их полномочий, предусмотренных действующим законодательством;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установления государственного регулирования (или регулирования иными организациями) хозяйственной деятельности коммерческих организаций в сети Интернет и (или) установления указанными субъектами разовых ограничений, затрудняющих или делающих невозможным исполнение Договора или его части, в том числе использование Платформы;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ошибочного понимания или непонимания Пользователем информации о порядке оформления и оплаты заявок, использовании функциональных возможностей Платформы;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действий Агента и Пользователя по исполнению заключенного между ними с использованием программных средств Платформы гражданско-правового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 любых обстоятельствах ответственность Агент ограничен суммой в размере 1 000,00 (одна тысяча) рублей или эквивалентом в иностранной валюте и возлагается на нее исключительно при наличии в его действиях вины.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подтверждает и соглашается с тем, что Агент не является ответственной за надлежащее исполнение агентского поручения в рамках исполнения Заказа, не отвечает за исполнение Агентом взятых на себя по агентскому договору обязательств и не несет ответственности за содержание и (или) актуальность информации, предоставляемой Агентом и третьими лицами.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нарушения Пользователем или третьими лицами исключительного права на принадлежащие Агенту результаты интеллектуальной деятельности, наряду с использованием других применимых способов защиты и мер ответственности, установленных Договором и Гражданским кодексом РФ (ст. ст. 1250, 1252 и 1253 Гражданского кодекса РФ), Агент вправе в соответствии с п. 3 ст. 1252 Гражданского кодекса РФ требовать по своему выбору от них вместо возмещения убытков в полном объеме выплаты компенсации в размере от 10 000,00 руб. до 5 000 000,00 руб. за каждый факт и неправомерно используемый объект авторского права.</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ФОРС - МАЖОР</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Стороны освобождаются от ответственности за полное или частичное неисполнение обязательств, взятых на себя по Договору в случае, если такое нарушение явилось следствием действия непреодолимой силы, а именно: пожар, стихийные бедствия, забастовка, война, массовые беспорядки, крупные аварии, техногенные катастрофы, ухудшение эпидемиологической ситуации (пандемия), запретительные действия органов государственной власти, вступление в действие законодательных актов и распоряжений государственных органов, прямо или косвенно запрещающих указанные в Договоре виды деятельности и (или) препятствующих осуществлению сторонами своих обязательств по Договору, международные санкций или других независящих от сторон обстоятельств, возникших после заключения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Сторона, которая не может выполнить свои обязательства по Договору в связи с действием непреодолимой силы, обязана своевременно, но не позднее 72 часов после наступления указанных обстоятельств, известить об этом другую сторону, с представлением подтверждающих указанные обстоятельства документов. Если действие форс-мажора длится более 30 (тридцати) календарных дней, любая сторона может инициировать расторжение Договора.</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ИНТЕЛЛЕКТУАЛЬНАЯ СОБСТВЕННОСТЬ</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Агенту принадлежат исключительные права на Платформу, в том числе исключительные права на любые компоненты, представляющие собой охраняемые результаты интеллектуальной деятельности, включая программный (исходный) код и иные составляющие программы для ЭВМ, базы данных, произведения дизайна, тексты, а также средства индивидуализации (фирменное наименование, товарные знаки, знаки обслуживания, коммерческие обозначения), за исключением результатов интеллектуальной деятельности и средств индивидуализации Пользователей, информация о которых представлена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Использование Платформы не предусматривает передачу прав на Платформу или ее компоненты. Пользователю предоставляется ограниченное право на использование в соответствии с условиями Тарифного плана. Такое право может быть прекращено в любое время в соответствии с условиями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получения в письменной форме заявления лица о нарушении его интеллектуальных прав с указанием страницы Платформы, на которой размещен такой материал, Агент своевременно принимает необходимые и достаточные меры для прекращения нарушения интеллектуальных прав. Такие меры заключаются в установлении правообладателя на основании предоставленных им доказательств, установлении обстоятельств возможных нарушений интеллектуальных прав и определении способов прекращения нарушения. Прекращение нарушения осуществляется, как правило, путем удаления спорного материала с Платформы, прекращения доступа к нему либо путем урегулирования отношений с правообладателем – получения разрешения на использование спорного контента.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предоставления Пользователем Агента каких-либо текстовых, графических, фото-, аудио-, видеоматериалов (в том числе с целью фиксации качества сервисов, оставления отзывов о работе Платформы), Агента вправе использовать такие материалы в течение всего срока действия исключительного права без выплаты вознаграждения путем воспроизведения, распространения, доведения до всеобщего сведения. Пользователь гарантирует, что предоставленные таких материалов не нарушает прав третьих лиц, материалы могут быть использованы без указания имен их авторов и обнародованы Агента.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дает согласие Агенту на публичное упоминание его как пользователя Платформы (включая размещение фирменного наименования и логотипа) на сайте Агента, в рекламных и информационных материалах.</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ГАРАНТИИ И ЗАВЕРЕНИЯ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Принимая условия Публичной оферты, Пользователь подтверждает и гарантирует, что: </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Использование Платформы будет осуществляться Пользователем исключительно для целей, разрешенных Договором, и с соблюдением его положений, а равно требований применимого права и общепринятой практики.</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не будет совершать каких-либо действий, которые препятствуют нормальному функционированию Платформы или работе соответствующего оборудования, сетей или сопутствующего программного обеспечения, с помощью которых предоставляется доступ к Платформе.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не будет указывать данные третьих лиц при регистрации и оформлении заявки без получения их согласия.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 заключении Договора, исполнении своих обязательств и после его прекращения Пользователь, его аффилированные лица, работники, агенты, посредники и иные третьи лица, находящиеся под их контролем или определяющие влияние на указанных лиц, обязуются принять все разумные меры для обеспечения соблюдения указанными лицами применимого антикоррупционного законодательства.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и лица, указанные выше, не предлагают выплатить и не разрешают выплату каких-либо денежных средств или ценностей, прямо или косвенно, любым лицам (включая, но не ограничиваясь, работников, членов семей работников, иных аффилированных лиц), для оказания влияния на действия или решения этих лиц с целью получить какие-либо преимущества (включая, но не ограничиваясь получение конфиденциальной информации, коммерческой тайны, иной внутренней информации, любых скидок (надбавок)) или с иными неправомерными целями, а также в целях, ставящих под сомнение деловую репутацию Пользователя, Агента и (или) их сотрудников.</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и лица, указанные выше, не осуществляют действия, квалифицируемые действующим законодательством как дача / получение взятки, посредничество во взяточничестве, коммерческий подкуп, а также действия, нарушающие требования применимого законодательства о противодействии коррупции, противодействии легализации (отмыванию) доходов, полученных преступным путем.</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установления факта совершения Пользователем и (или) его сотрудниками вышеуказанных действий, нарушающих требования применимого антикоррупционного законодательства, Договор может быть расторгнут в одностороннем (внесудебном) порядке путем направления такому Пользователю уведомления. Договор будет считаться расторгнутым с момента получения такого уведомления.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признает, что Агент с целью соблюдения требований применимого антикоррупционного законодательства и реализации принципа «должной осмотрительности» вправе запрашивать у Пользователя информацию об операциях Пользователя, относящимся к деловым отношениям с Агентом, в частности, о заключенных посредством Платформы договорах и их исполнении.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признает, что Агент с целью соблюдения требований применимого антикоррупционного законодательства и реализации принципа «должной осмотрительности» вправе запрашивать у Пользователя информацию об операциях Пользователя, относящимся к деловым отношениям с Агентом, в частности, о заключенных посредством Платформы договорах и их исполнении.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Предоставленные Пользователем гарантии имеют значение заверений об обстоятельствах, на которые полагается Агент при заключении Договора (ст. 431.2 Гражданского кодекса РФ). В случае нарушения Пользователем предоставленных гарантий Агент имеет право отказаться от предоставления Пользователю права использования Платформы и потребовать возмещения убытков, причиненных недостоверностью представленных гарантий.</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ОБМЕН ЮРИДИЧЕСКИ ЗНАЧИМЫМИ СООБЩЕНИЯМИ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Обмен юридически значимыми сообщениями, связанными с возникновением, изменением или прекращением обязательств, основанных на Договоре, может осуществляться сторонами с помощью Личного кабинета Платформы, электронной почты, заказного почтового отправления или курьерской доставки, с использованием исключительно тех реквизитов, которые указаны Агентом в Договоре и переданы Пользователем при прохождении процедуры регистрации и совершения Акцепта.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Документы, отправленные сторонами друг другу с помощью Личного кабинета Платформы и электронной почты признаются электронными документами, подписанными простой электронной подписью, равнозначными документу на бумажном носителе, подписанном Сторонами и имеют юридическую силу. Ключом простой электронной подписи выступает пароль, а ключом проверки простой электронной подписи выступает логин к указанным средствами связи.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Отправка электронных документов предполагает их предварительное документирование на бумажном носителе со всеми обязательным реквизитами, переведенного в электронную форму с помощью средств сканирования. Набранный текст (тело) электронного сообщения также признается сторонами электронным документом.</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Днем получения адресатом документов и иных юридически значимых сообщений является день их отправки (электронный документооборот), день поступления отправления к месту выдачи (письменный документооборот).</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Стороны обязуются сохранять конфиденциальность доступа к указанным средствам связи и незамедлительно уведомлять друг друга обо всех случаях его компрометации, а также о невозможности открытия или просмотра отправлений. В отсутствие такого уведомления, направленные документы и юридически значимые сообщения, признаются надлежащими.</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ПАРТНЕРСКАЯ ПРОГРАММА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Участником партнерской программы может быть зарегистрированный Пользователь (Партнер), который хотя бы единоразово купил Тарифный план по цене от 5000,00 руб. Для каждого зарегистрированного Пользователя в Личном кабинете с помощью функционала Платформы может быть сформирована специальная (реферальная) ссылка (в т. ч. в виде QR-кода или промокода).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Если по реферальной ссылке Пользователя (Партнера) на Платформе зарегистрировался новый Пользователь (Реферал) и произвел покупку Тарифного плана по цене от 5000,00 руб. в течение 365 дней, такой Реферал закрепляется за Пользователем (Партнером), который получает партнерское вознаграждение в размере, соответствующем 1 (первому) уровню партнерского вознаграждения.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Если по реферальной ссылке Реферала на Платформе зарегистрировался новый Пользователь (Реферал) и произвел покупку Тарифного плана по цене от 5000,00 руб. в течение 365 дней, такой Реферал закрепляется за первичным Рефералом, который получает партнерское вознаграждение в размере, соответствующем 2 (второму) уровню партнерского вознаграждения.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Партнерская программа ограничена 2 (двумя) уровнями партнерского вознаграждения: 1-й уровень – 5% от цены покупок сервисов на Платформе; 2-й уровень – 2% от цены покупок сервисов на Платформе.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Партнерское вознаграждение начисляется на внутренний баланс Пользователя в Личном кабинете Платформы в течение 14 (четырнадцати) календарных дней при условии, что Реферал не затребовал возврат средств за Тарифный план. Средства, начисленные на внутренний баланс Пользователя, могут быть выведены (переведены) Пользователем на расчетный счет при условии, что сумма начисленного партнерского вознаграждения составляет не менее 5000,00 руб. При запросе вывода (перевода) денежных средств Пользователем – физическим лицом, Агент вправе запросить от Пользователя – физического лица подтверждение статуса индивидуального предпринимателя или лица, применяющего налог на профессиональный доход. В случае отсутствия такого подтверждения Агент вправе приостановить выплату до подтверждения такого статуса. При одобрении запроса на вывод (перевод) денежных средств Стороны заключают  отдельное Дополнительное Соглашение к настоящему Договору.</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Все оформленные запросы на вывод средств обрабатываются Агентом в срок от 1 до 5 рабочих дней. Отслеживать статус выполнения запроса Пользователь может в соответствующем разделе своего Личного кабинета. В Личном кабинете Пользователю также доступна статистика по привлеченным Рефералам и суммам партнерского вознаграждения.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Запрещено привлечение Рефералов с помощью почтового спама, спама в социальных сетях, на форумах и прочих видов спама, выстраивание реферальных связей и регистрация более одной учетной записи одним и тем же Пользователем с целью получения партнерского вознаграждения. При выявлении факта регистрации одним Пользователем более одного аккаунта, все аккаунты Пользователя могут быть заблокированы без возможности возврата средств с внутреннего баланса учетной записи.</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КОНФИДЕНЦИАЛЬНОСТЬ</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Порядок обработки персональных данных определяется Политикой конфиденциальности, которая опубликована на Платформе в разделе «Политика конфиденциальности» [</w:t>
      </w:r>
      <w:hyperlink r:id="rId3">
        <w:r>
          <w:rPr>
            <w:rStyle w:val="ListLabel22"/>
            <w:rFonts w:eastAsia="Times New Roman" w:cs="Times New Roman"/>
            <w:b w:val="false"/>
            <w:i w:val="false"/>
            <w:caps w:val="false"/>
            <w:smallCaps w:val="false"/>
            <w:strike w:val="false"/>
            <w:dstrike w:val="false"/>
            <w:color w:val="1155CC"/>
            <w:position w:val="0"/>
            <w:sz w:val="22"/>
            <w:sz w:val="22"/>
            <w:szCs w:val="22"/>
            <w:u w:val="single"/>
            <w:shd w:fill="auto" w:val="clear"/>
            <w:vertAlign w:val="baseline"/>
          </w:rPr>
          <w:t>https://app.marketmonstr.pro/conf_policy.pdf</w:t>
        </w:r>
      </w:hyperlink>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ПОРЯДОК ВНЕСЕНИЯ ИЗМЕНЕНИЙ ИЛИ РАСТОРЖЕНИЯ ДОГОВОРА</w:t>
      </w:r>
    </w:p>
    <w:p>
      <w:pPr>
        <w:pStyle w:val="Normal"/>
        <w:keepNext w:val="false"/>
        <w:keepLines w:val="false"/>
        <w:pageBreakBefore w:val="false"/>
        <w:widowControl/>
        <w:numPr>
          <w:ilvl w:val="1"/>
          <w:numId w:val="2"/>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имеет право в одностороннем порядке и в любое время без уведомления Пользователя вносить изменения в Договор путем внесения изменений к текущей редакции либо утверждения его новой редакции. Новая редакция Договора вступает в силу с момента его опубликования на Платформе, если Агентом прямо не указано иное в тексте новой редакции Договора.</w:t>
      </w:r>
    </w:p>
    <w:p>
      <w:pPr>
        <w:pStyle w:val="Normal"/>
        <w:keepNext w:val="false"/>
        <w:keepLines w:val="false"/>
        <w:pageBreakBefore w:val="false"/>
        <w:widowControl/>
        <w:numPr>
          <w:ilvl w:val="1"/>
          <w:numId w:val="2"/>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Регулярное ознакомление с действующей редакцией Договора является обязанностью Пользователя. Продолжение использования Платформы после размещения новой редакции Договора означает полное и безоговорочное согласие Пользователя с новой редакцией Договора. </w:t>
      </w:r>
    </w:p>
    <w:p>
      <w:pPr>
        <w:pStyle w:val="Normal"/>
        <w:keepNext w:val="false"/>
        <w:keepLines w:val="false"/>
        <w:pageBreakBefore w:val="false"/>
        <w:widowControl/>
        <w:numPr>
          <w:ilvl w:val="1"/>
          <w:numId w:val="2"/>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Публичная оферта действует в той редакции, которая была опубликована во время оформления заявки на сервисы Платформы в рамках купленного Тарифного плана. В случае если Пользователь не согласен с условиями Договора, он обязуется немедленно прекратить использование Платформы. </w:t>
      </w:r>
    </w:p>
    <w:p>
      <w:pPr>
        <w:pStyle w:val="Normal"/>
        <w:keepNext w:val="false"/>
        <w:keepLines w:val="false"/>
        <w:pageBreakBefore w:val="false"/>
        <w:widowControl/>
        <w:numPr>
          <w:ilvl w:val="1"/>
          <w:numId w:val="2"/>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Новая редакция Договора распространяется на всех Пользователей, в том числе совершивших Акцепт ранее даты вступления указанных изменений в силу. При этом стороны понимают и соглашаются с тем, что указанные изменения применяются к ним исключительно в той части правоотношений, которые возникнут после их вступления в силу. </w:t>
      </w:r>
    </w:p>
    <w:p>
      <w:pPr>
        <w:pStyle w:val="Normal"/>
        <w:keepNext w:val="false"/>
        <w:keepLines w:val="false"/>
        <w:pageBreakBefore w:val="false"/>
        <w:widowControl/>
        <w:numPr>
          <w:ilvl w:val="1"/>
          <w:numId w:val="2"/>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Договор может быть расторгнут по следующим основаниям: </w:t>
      </w:r>
    </w:p>
    <w:p>
      <w:pPr>
        <w:pStyle w:val="Normal"/>
        <w:keepNext w:val="false"/>
        <w:keepLines w:val="false"/>
        <w:pageBreakBefore w:val="false"/>
        <w:widowControl/>
        <w:numPr>
          <w:ilvl w:val="0"/>
          <w:numId w:val="1"/>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 соглашению сторон;</w:t>
      </w:r>
    </w:p>
    <w:p>
      <w:pPr>
        <w:pStyle w:val="Normal"/>
        <w:keepNext w:val="false"/>
        <w:keepLines w:val="false"/>
        <w:pageBreakBefore w:val="false"/>
        <w:widowControl/>
        <w:numPr>
          <w:ilvl w:val="0"/>
          <w:numId w:val="1"/>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 инициативе Пользователя или Агента в одностороннем (внесудебном) порядке в случаях, предусмотренных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может приостановить или прекратить действие настоящего Договора или использования Пользователем немедленно после получения любого уведомления, в котором утверждается, что Пользователь использовал Платформу в любых целях, нарушающих любое местное, региональное или федеральное законодательство или законодательство других стран.</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ЗАКЛЮЧИТЕЛЬНЫЕ ПОЛОЖЕНИЯ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Соглашение регулируется и толкуется в соответствии с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Если какой-либо пункт Договора будет признан недействительным, ничтожным или по какой-либо причине не имеющим исковой силы, такой пункт считается отделимым и не влияет на действительность и применимость остальных пунктов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Настоящий Договор вступает в силу для Пользователя с момента его Акцепта и действует в течение неопределённого срока. После совершения Акцепта все предыдущие устные или письменные соглашения между сторонами признаются утратившими свою силу, а стороны руководствуются исключительно условиями Договора. Во всем ином, что не предусмотрено Договором, стороны руководствуются законодательством Российской Федерации, а в случае отсутствия нормы права, регулирующей возникшие правоотношения, сложившимися обычаями делового оборота (ст. 5 Гражданского кодекса РФ).</w:t>
      </w:r>
    </w:p>
    <w:p>
      <w:pPr>
        <w:pStyle w:val="Normal"/>
        <w:numPr>
          <w:ilvl w:val="0"/>
          <w:numId w:val="2"/>
        </w:numPr>
        <w:spacing w:lineRule="auto" w:line="360" w:before="0" w:after="0"/>
        <w:ind w:left="360" w:hanging="360"/>
        <w:rPr>
          <w:b w:val="false"/>
          <w:b w:val="false"/>
        </w:rPr>
      </w:pPr>
      <w:r>
        <w:rPr>
          <w:b/>
        </w:rPr>
        <w:t>АДРЕСА И РЕКВИЗИТЫ СТОРОН</w:t>
      </w:r>
    </w:p>
    <w:p>
      <w:pPr>
        <w:pStyle w:val="Normal"/>
        <w:spacing w:lineRule="auto" w:line="240" w:before="0" w:after="0"/>
        <w:rPr/>
      </w:pPr>
      <w:r>
        <w:rPr/>
      </w:r>
    </w:p>
    <w:tbl>
      <w:tblPr>
        <w:tblStyle w:val="Table1"/>
        <w:tblW w:w="9030" w:type="dxa"/>
        <w:jc w:val="left"/>
        <w:tblInd w:w="0" w:type="dxa"/>
        <w:tblCellMar>
          <w:top w:w="100" w:type="dxa"/>
          <w:left w:w="100" w:type="dxa"/>
          <w:bottom w:w="100" w:type="dxa"/>
          <w:right w:w="100" w:type="dxa"/>
        </w:tblCellMar>
        <w:tblLook w:val="0600"/>
      </w:tblPr>
      <w:tblGrid>
        <w:gridCol w:w="2319"/>
        <w:gridCol w:w="6710"/>
      </w:tblGrid>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keepNext w:val="false"/>
              <w:keepLines w:val="false"/>
              <w:widowControl w:val="false"/>
              <w:shd w:val="clear" w:fill="auto"/>
              <w:spacing w:lineRule="auto" w:line="240" w:before="0" w:after="0"/>
              <w:ind w:left="0" w:right="0" w:hanging="0"/>
              <w:jc w:val="left"/>
              <w:rPr>
                <w:b/>
                <w:b/>
              </w:rPr>
            </w:pPr>
            <w:r>
              <w:rPr>
                <w:b/>
              </w:rPr>
              <w:t>Агент</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highlight w:val="white"/>
              </w:rPr>
            </w:pPr>
            <w:r>
              <w:rPr>
                <w:highlight w:val="white"/>
              </w:rPr>
              <w:t>Индивидуальный предприниматель Новиков Андрей Валерьевич</w:t>
            </w:r>
          </w:p>
        </w:tc>
      </w:tr>
      <w:tr>
        <w:trPr>
          <w:trHeight w:val="477" w:hRule="atLeast"/>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40" w:before="0" w:after="0"/>
              <w:rPr/>
            </w:pPr>
            <w:r>
              <w:rPr/>
              <w:t>ОГРНИП</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highlight w:val="white"/>
              </w:rPr>
            </w:pPr>
            <w:r>
              <w:rPr>
                <w:highlight w:val="white"/>
              </w:rPr>
              <w:t>323508100472670</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40" w:before="0" w:after="0"/>
              <w:rPr/>
            </w:pPr>
            <w:r>
              <w:rPr/>
              <w:t>ИНН</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highlight w:val="white"/>
              </w:rPr>
            </w:pPr>
            <w:r>
              <w:rPr>
                <w:highlight w:val="white"/>
              </w:rPr>
              <w:t>713602742755</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40" w:before="0" w:after="0"/>
              <w:rPr/>
            </w:pPr>
            <w:r>
              <w:rPr/>
              <w:t>Адрес</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highlight w:val="white"/>
              </w:rPr>
            </w:pPr>
            <w:r>
              <w:rPr>
                <w:highlight w:val="white"/>
              </w:rPr>
              <w:t>141401, Московская область, г.о. Химки, ул. 8 марта, д. 2а, кв. 1</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pPr>
            <w:r>
              <w:rPr/>
              <w:t>Банк</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highlight w:val="white"/>
              </w:rPr>
            </w:pPr>
            <w:r>
              <w:rPr/>
              <w:t>АО «Альфа-Банк»</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pPr>
            <w:r>
              <w:rPr/>
              <w:t>БИК</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highlight w:val="white"/>
              </w:rPr>
            </w:pPr>
            <w:r>
              <w:rPr/>
              <w:t>044525593</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pPr>
            <w:r>
              <w:rPr/>
              <w:t>Расчетный счет</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highlight w:val="white"/>
              </w:rPr>
            </w:pPr>
            <w:r>
              <w:rPr/>
              <w:t>40802810401300014591</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pPr>
            <w:r>
              <w:rPr/>
              <w:t>Кор. Cчёт</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highlight w:val="white"/>
              </w:rPr>
            </w:pPr>
            <w:r>
              <w:rPr/>
              <w:t>30101810200000000593</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40" w:before="0" w:after="0"/>
              <w:rPr/>
            </w:pPr>
            <w:r>
              <w:rPr/>
              <w:t>Эл. почта</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pPr>
            <w:r>
              <w:rPr>
                <w:highlight w:val="white"/>
              </w:rPr>
              <w:t>checkmp@mail.ru</w:t>
            </w:r>
          </w:p>
        </w:tc>
      </w:tr>
    </w:tbl>
    <w:p>
      <w:pPr>
        <w:pStyle w:val="Normal"/>
        <w:spacing w:lineRule="auto" w:line="240" w:before="0" w:after="0"/>
        <w:rPr/>
      </w:pPr>
      <w:r>
        <w:rPr/>
      </w:r>
    </w:p>
    <w:p>
      <w:pPr>
        <w:pStyle w:val="Normal"/>
        <w:spacing w:lineRule="auto" w:line="240" w:before="0" w:after="0"/>
        <w:rPr/>
      </w:pPr>
      <w:r>
        <w:rPr/>
      </w:r>
    </w:p>
    <w:tbl>
      <w:tblPr>
        <w:tblStyle w:val="Table2"/>
        <w:tblW w:w="9071" w:type="dxa"/>
        <w:jc w:val="left"/>
        <w:tblInd w:w="0" w:type="dxa"/>
        <w:tblCellMar>
          <w:top w:w="100" w:type="dxa"/>
          <w:left w:w="100" w:type="dxa"/>
          <w:bottom w:w="100" w:type="dxa"/>
          <w:right w:w="100" w:type="dxa"/>
        </w:tblCellMar>
        <w:tblLook w:val="0600"/>
      </w:tblPr>
      <w:tblGrid>
        <w:gridCol w:w="4535"/>
        <w:gridCol w:w="4535"/>
      </w:tblGrid>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40" w:before="0" w:after="0"/>
              <w:rPr>
                <w:b/>
                <w:b/>
              </w:rPr>
            </w:pPr>
            <w:r>
              <w:rPr>
                <w:b/>
              </w:rPr>
              <w:t>Пользователь</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b/>
                <w:bCs/>
                <w:sz w:val="22"/>
                <w:szCs w:val="22"/>
                <w:rFonts w:ascii="Times New Roman" w:cs="Times New Roman" w:eastAsia="Times New Roman" w:hAnsi="Times New Roman"/>
              </w:rPr>
              <w:t xml:space="preserve">ООО Тест П.П.</w:t>
            </w:r>
          </w:p>
        </w:tc>
      </w:tr>
      <w:tr>
        <w:trPr>
          <w:trHeight w:val="477" w:hRule="atLeast"/>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ОГРН</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1147746623322</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ИНН</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7729774343</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Адрес</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ул. Каланчевская, д. 27</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18" w:before="0" w:after="160"/>
              <w:rPr/>
            </w:pPr>
            <w:r>
              <w:rPr/>
              <w:t>Банк</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АО "АЛЬФА-БАНК"</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18" w:before="0" w:after="160"/>
              <w:rPr/>
            </w:pPr>
            <w:r>
              <w:rPr/>
              <w:t>БИК</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asdasdass</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18" w:before="0" w:after="160"/>
              <w:rPr/>
            </w:pPr>
            <w:r>
              <w:rPr/>
              <w:t>Расчетный счет</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23123123213213213213213213213</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18" w:before="0" w:after="160"/>
              <w:rPr/>
            </w:pPr>
            <w:r>
              <w:rPr/>
              <w:t>Кор. Cчёт</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30101810200000000593</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Эл. почта</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mr_fl1232132132ane@mail.ru</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Генеральный директор</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Петр1 Петров Васильевич</w:t>
            </w:r>
          </w:p>
        </w:tc>
      </w:tr>
    </w:tbl>
    <w:p>
      <w:pPr>
        <w:pStyle w:val="Normal"/>
        <w:keepNext w:val="true"/>
        <w:spacing w:lineRule="auto" w:line="360" w:before="0" w:after="0"/>
        <w:ind w:left="0" w:hanging="0"/>
        <w:rPr>
          <w:sz w:val="24"/>
          <w:szCs w:val="24"/>
        </w:rPr>
      </w:pPr>
      <w:r>
        <w:rPr>
          <w:sz w:val="24"/>
          <w:szCs w:val="24"/>
        </w:rPr>
      </w:r>
    </w:p>
    <w:p>
      <w:pPr>
        <w:pStyle w:val="Normal"/>
        <w:keepNext w:val="true"/>
        <w:spacing w:lineRule="auto" w:line="360" w:before="0" w:after="0"/>
        <w:ind w:left="0" w:hanging="0"/>
        <w:rPr>
          <w:b/>
          <w:b/>
        </w:rPr>
      </w:pPr>
      <w:r>
        <w:rPr/>
        <w:t xml:space="preserve">20. </w:t>
      </w:r>
      <w:r>
        <w:rPr>
          <w:b/>
        </w:rPr>
        <w:t>ПОДПИСИ СТОРОН</w:t>
      </w:r>
    </w:p>
    <w:tbl>
      <w:tblPr>
        <w:tblStyle w:val="Table3"/>
        <w:tblW w:w="9349" w:type="dxa"/>
        <w:jc w:val="left"/>
        <w:tblInd w:w="-113" w:type="dxa"/>
        <w:tblCellMar>
          <w:top w:w="0" w:type="dxa"/>
          <w:left w:w="108" w:type="dxa"/>
          <w:bottom w:w="0" w:type="dxa"/>
          <w:right w:w="108" w:type="dxa"/>
        </w:tblCellMar>
        <w:tblLook w:val="0000"/>
      </w:tblPr>
      <w:tblGrid>
        <w:gridCol w:w="4677"/>
        <w:gridCol w:w="4671"/>
      </w:tblGrid>
      <w:tr>
        <w:trPr/>
        <w:tc>
          <w:tcPr>
            <w:tcW w:w="4677"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jc w:val="center"/>
              <w:rPr>
                <w:b/>
                <w:b/>
                <w:sz w:val="20"/>
                <w:szCs w:val="20"/>
              </w:rPr>
            </w:pPr>
            <w:r>
              <w:rPr>
                <w:b/>
                <w:sz w:val="20"/>
                <w:szCs w:val="20"/>
              </w:rPr>
            </w:r>
          </w:p>
          <w:p>
            <w:pPr>
              <w:pStyle w:val="Normal"/>
              <w:spacing w:lineRule="auto" w:line="240" w:before="0" w:after="0"/>
              <w:jc w:val="center"/>
              <w:rPr>
                <w:b/>
                <w:b/>
                <w:sz w:val="20"/>
                <w:szCs w:val="20"/>
              </w:rPr>
            </w:pPr>
            <w:r>
              <w:rPr>
                <w:b/>
                <w:sz w:val="20"/>
                <w:szCs w:val="20"/>
              </w:rPr>
              <w:t>Агент</w:t>
            </w:r>
          </w:p>
          <w:p>
            <w:pPr>
              <w:pStyle w:val="Normal"/>
              <w:spacing w:lineRule="auto" w:line="240" w:before="0" w:after="0"/>
              <w:jc w:val="center"/>
              <w:rPr>
                <w:b/>
                <w:b/>
                <w:sz w:val="20"/>
                <w:szCs w:val="20"/>
              </w:rPr>
            </w:pPr>
            <w:r>
              <w:rPr>
                <w:b/>
                <w:sz w:val="20"/>
                <w:szCs w:val="20"/>
              </w:rPr>
            </w:r>
          </w:p>
        </w:tc>
        <w:tc>
          <w:tcPr>
            <w:tcW w:w="467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jc w:val="left"/>
              <w:rPr>
                <w:b/>
                <w:b/>
                <w:sz w:val="20"/>
                <w:szCs w:val="20"/>
              </w:rPr>
            </w:pPr>
            <w:r>
              <w:rPr>
                <w:b/>
                <w:sz w:val="20"/>
                <w:szCs w:val="20"/>
              </w:rPr>
            </w:r>
          </w:p>
          <w:p>
            <w:pPr>
              <w:pStyle w:val="Normal"/>
              <w:spacing w:lineRule="auto" w:line="240" w:before="0" w:after="0"/>
              <w:jc w:val="center"/>
              <w:rPr>
                <w:b/>
                <w:b/>
                <w:sz w:val="20"/>
                <w:szCs w:val="20"/>
              </w:rPr>
            </w:pPr>
            <w:r>
              <w:rPr>
                <w:b/>
                <w:sz w:val="20"/>
                <w:szCs w:val="20"/>
              </w:rPr>
              <w:t>Пользователь</w:t>
            </w:r>
          </w:p>
        </w:tc>
      </w:tr>
      <w:tr>
        <w:trPr/>
        <w:tc>
          <w:tcPr>
            <w:tcW w:w="4677" w:type="dxa"/>
            <w:tcBorders>
              <w:top w:val="single" w:sz="4" w:space="0" w:color="000000"/>
              <w:left w:val="single" w:sz="4" w:space="0" w:color="000000"/>
              <w:bottom w:val="single" w:sz="4" w:space="0" w:color="000000"/>
              <w:right w:val="single" w:sz="4" w:space="0" w:color="000000"/>
            </w:tcBorders>
            <w:shd w:fill="auto" w:val="clear"/>
          </w:tcPr>
          <w:p>
            <w:pPr>
              <w:pStyle w:val="Normal"/>
              <w:widowControl w:val="false"/>
              <w:spacing w:lineRule="auto" w:line="276" w:before="0" w:after="0"/>
              <w:jc w:val="center"/>
              <w:rPr>
                <w:sz w:val="20"/>
                <w:szCs w:val="20"/>
                <w:highlight w:val="white"/>
              </w:rPr>
            </w:pPr>
            <w:r>
              <w:rPr>
                <w:sz w:val="20"/>
                <w:szCs w:val="20"/>
                <w:highlight w:val="white"/>
              </w:rPr>
              <w:t>Индивидуальный предприниматель</w:t>
            </w:r>
          </w:p>
          <w:p>
            <w:pPr>
              <w:pStyle w:val="Normal"/>
              <w:widowControl w:val="false"/>
              <w:spacing w:lineRule="auto" w:line="276" w:before="0" w:after="0"/>
              <w:jc w:val="center"/>
              <w:rPr>
                <w:sz w:val="18"/>
                <w:szCs w:val="18"/>
              </w:rPr>
            </w:pPr>
            <w:r>
              <w:rPr>
                <w:sz w:val="20"/>
                <w:szCs w:val="20"/>
                <w:highlight w:val="white"/>
              </w:rPr>
              <w:t>Новиков Андрей Валерьевич</w:t>
            </w:r>
          </w:p>
        </w:tc>
        <w:tc>
          <w:tcPr>
            <w:tcW w:w="467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val="false"/>
              <w:bidi w:val="0"/>
              <w:spacing w:lineRule="auto" w:line="276" w:before="0" w:after="0"/>
              <w:jc w:val="center"/>
              <w:rPr>
                <w:lang w:val="ru-RU"/>
              </w:rPr>
            </w:pPr>
            <w:r>
              <w:rPr>
                <w:sz w:val="20"/>
                <w:szCs w:val="20"/>
                <w:highlight w:val="white"/>
                <w:lang w:val="ru-RU"/>
              </w:rPr>
              <w:t>Генеральный директор</w:t>
            </w:r>
          </w:p>
          <w:p>
            <w:pPr>
              <w:spacing w:line="276"/>
              <w:jc w:val="center"/>
            </w:pPr>
            <w:r>
              <w:rPr>
                <w:sz w:val="20"/>
                <w:szCs w:val="20"/>
                <w:rFonts w:ascii="Times New Roman" w:cs="Times New Roman" w:eastAsia="Times New Roman" w:hAnsi="Times New Roman"/>
              </w:rPr>
              <w:t xml:space="preserve">Петров Петр1 Васильевич</w:t>
            </w:r>
          </w:p>
        </w:tc>
      </w:tr>
      <w:tr>
        <w:trPr>
          <w:trHeight w:val="321" w:hRule="atLeast"/>
        </w:trPr>
        <w:tc>
          <w:tcPr>
            <w:tcW w:w="4677"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jc w:val="center"/>
              <w:rPr>
                <w:sz w:val="18"/>
                <w:szCs w:val="18"/>
              </w:rPr>
            </w:pPr>
            <w:r>
              <w:rPr>
                <w:sz w:val="21"/>
                <w:szCs w:val="21"/>
              </w:rPr>
              <w:t>________________________ / А.В. Новиков</w:t>
            </w:r>
          </w:p>
        </w:tc>
        <w:tc>
          <w:tcPr>
            <w:tcW w:w="4671" w:type="dxa"/>
            <w:tcBorders>
              <w:top w:val="single" w:sz="4" w:space="0" w:color="000000"/>
              <w:left w:val="single" w:sz="4" w:space="0" w:color="000000"/>
              <w:bottom w:val="single" w:sz="4" w:space="0" w:color="000000"/>
              <w:right w:val="single" w:sz="4" w:space="0" w:color="000000"/>
            </w:tcBorders>
            <w:shd w:fill="auto" w:val="clear"/>
          </w:tcPr>
          <w:p>
            <w:pPr>
              <w:spacing w:line="276"/>
              <w:jc w:val="center"/>
            </w:pPr>
            <w:r>
              <w:rPr>
                <w:sz w:val="21"/>
                <w:szCs w:val="21"/>
                <w:rFonts w:ascii="Times New Roman" w:cs="Times New Roman" w:eastAsia="Times New Roman" w:hAnsi="Times New Roman"/>
              </w:rPr>
              <w:t xml:space="preserve">________________________ / П. В. Петров</w:t>
            </w:r>
          </w:p>
        </w:tc>
      </w:tr>
    </w:tbl>
    <w:p>
      <w:pPr>
        <w:pStyle w:val="Normal"/>
        <w:spacing w:lineRule="auto" w:line="240" w:before="0" w:after="0"/>
        <w:rPr/>
      </w:pPr>
      <w:r>
        <w:rPr/>
      </w:r>
    </w:p>
    <w:sectPr>
      <w:footerReference w:type="default" r:id="rId4"/>
      <w:type w:val="nextPage"/>
      <w:pgSz w:w="11906" w:h="16838"/>
      <w:pgMar w:left="1701" w:right="1134" w:header="0" w:top="1134" w:footer="709" w:bottom="1134" w:gutter="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Calibri">
    <w:charset w:val="00"/>
    <w:family w:val="roman"/>
    <w:pitch w:val="variable"/>
  </w:font>
  <w:font w:name="Segoe UI">
    <w:charset w:val="00"/>
    <w:family w:val="roman"/>
    <w:pitch w:val="variable"/>
  </w:font>
  <w:font w:name="Arial">
    <w:charset w:val="00"/>
    <w:family w:val="roman"/>
    <w:pitch w:val="variable"/>
  </w:font>
  <w:font w:name="Calibri Light">
    <w:charset w:val="00"/>
    <w:family w:val="roman"/>
    <w:pitch w:val="variable"/>
  </w:font>
  <w:font w:name="Georgia">
    <w:charset w:val="00"/>
    <w:family w:val="roman"/>
    <w:pitch w:val="variable"/>
  </w:font>
  <w:font w:name="Cambria Math">
    <w:charset w:val="00"/>
    <w:family w:val="roman"/>
    <w:pitch w:val="variable"/>
  </w:font>
  <w:font w:name="Noto Sans Symbols">
    <w:charset w:val="01"/>
    <w:family w:val="auto"/>
    <w:pitch w:val="variable"/>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keepNext w:val="false"/>
      <w:keepLines w:val="false"/>
      <w:widowControl w:val="false"/>
      <w:shd w:val="clear" w:fill="auto"/>
      <w:spacing w:lineRule="auto" w:line="276" w:before="0" w:after="0"/>
      <w:ind w:left="0" w:right="0" w:hanging="0"/>
      <w:jc w:val="left"/>
      <w:rPr/>
    </w:pPr>
    <w:r>
      <w:rPr/>
    </w:r>
  </w:p>
  <w:tbl>
    <w:tblPr>
      <w:tblStyle w:val="Table4"/>
      <w:tblW w:w="9071" w:type="dxa"/>
      <w:jc w:val="left"/>
      <w:tblInd w:w="0" w:type="dxa"/>
      <w:tblCellMar>
        <w:top w:w="0" w:type="dxa"/>
        <w:left w:w="108" w:type="dxa"/>
        <w:bottom w:w="0" w:type="dxa"/>
        <w:right w:w="108" w:type="dxa"/>
      </w:tblCellMar>
      <w:tblLook w:val="0400"/>
    </w:tblPr>
    <w:tblGrid>
      <w:gridCol w:w="3035"/>
      <w:gridCol w:w="3017"/>
      <w:gridCol w:w="3019"/>
    </w:tblGrid>
    <w:tr>
      <w:trPr/>
      <w:tc>
        <w:tcPr>
          <w:tcW w:w="3035" w:type="dxa"/>
          <w:tcBorders/>
          <w:shd w:fill="auto" w:val="clear"/>
          <w:vAlign w:val="center"/>
        </w:tcPr>
        <w:p>
          <w:pPr>
            <w:pStyle w:val="Normal"/>
            <w:tabs>
              <w:tab w:val="clear" w:pos="720"/>
              <w:tab w:val="center" w:pos="4153" w:leader="none"/>
              <w:tab w:val="right" w:pos="8306" w:leader="none"/>
            </w:tabs>
            <w:spacing w:before="0" w:after="160"/>
            <w:rPr>
              <w:rFonts w:ascii="Arial" w:hAnsi="Arial" w:eastAsia="Arial" w:cs="Arial"/>
            </w:rPr>
          </w:pPr>
          <w:r>
            <w:rPr>
              <w:rFonts w:eastAsia="Arial" w:cs="Arial" w:ascii="Arial" w:hAnsi="Arial"/>
            </w:rPr>
          </w:r>
        </w:p>
      </w:tc>
      <w:tc>
        <w:tcPr>
          <w:tcW w:w="3017" w:type="dxa"/>
          <w:tcBorders/>
          <w:shd w:fill="auto" w:val="clear"/>
          <w:vAlign w:val="center"/>
        </w:tcPr>
        <w:p>
          <w:pPr>
            <w:pStyle w:val="Normal"/>
            <w:tabs>
              <w:tab w:val="clear" w:pos="720"/>
              <w:tab w:val="center" w:pos="4680" w:leader="none"/>
              <w:tab w:val="right" w:pos="9360" w:leader="none"/>
            </w:tabs>
            <w:spacing w:before="0" w:after="160"/>
            <w:jc w:val="center"/>
            <w:rPr/>
          </w:pPr>
          <w:r>
            <w:rPr/>
            <w:fldChar w:fldCharType="begin"/>
          </w:r>
          <w:r>
            <w:rPr/>
            <w:instrText> PAGE </w:instrText>
          </w:r>
          <w:r>
            <w:rPr/>
            <w:fldChar w:fldCharType="separate"/>
          </w:r>
          <w:r>
            <w:rPr/>
            <w:t>22</w:t>
          </w:r>
          <w:r>
            <w:rPr/>
            <w:fldChar w:fldCharType="end"/>
          </w:r>
        </w:p>
      </w:tc>
      <w:tc>
        <w:tcPr>
          <w:tcW w:w="3019" w:type="dxa"/>
          <w:tcBorders/>
          <w:shd w:fill="auto" w:val="clear"/>
          <w:vAlign w:val="center"/>
        </w:tcPr>
        <w:p>
          <w:pPr>
            <w:pStyle w:val="Normal"/>
            <w:tabs>
              <w:tab w:val="clear" w:pos="720"/>
              <w:tab w:val="center" w:pos="4153" w:leader="none"/>
              <w:tab w:val="right" w:pos="8306" w:leader="none"/>
            </w:tabs>
            <w:spacing w:before="0" w:after="160"/>
            <w:jc w:val="right"/>
            <w:rPr>
              <w:sz w:val="24"/>
              <w:szCs w:val="24"/>
            </w:rPr>
          </w:pPr>
          <w:r>
            <w:rPr>
              <w:sz w:val="24"/>
              <w:szCs w:val="24"/>
            </w:rPr>
          </w:r>
        </w:p>
      </w:tc>
    </w:tr>
  </w:tbl>
  <w:p>
    <w:pPr>
      <w:pStyle w:val="Normal"/>
      <w:keepNext w:val="false"/>
      <w:keepLines w:val="false"/>
      <w:widowControl/>
      <w:shd w:val="clear" w:fill="auto"/>
      <w:tabs>
        <w:tab w:val="clear" w:pos="720"/>
        <w:tab w:val="center" w:pos="4677" w:leader="none"/>
        <w:tab w:val="right" w:pos="9355" w:leader="none"/>
      </w:tabs>
      <w:spacing w:lineRule="auto" w:line="24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vertAlign w:val="baseline"/>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
    <w:lvl w:ilvl="0">
      <w:start w:val="1"/>
      <w:numFmt w:val="decimal"/>
      <w:lvlText w:val="%1."/>
      <w:lvlJc w:val="left"/>
      <w:pPr>
        <w:ind w:left="360" w:hanging="360"/>
      </w:pPr>
      <w:rPr>
        <w:sz w:val="22"/>
        <w:b w:val="false"/>
        <w:rFonts w:ascii="Times New Roman" w:hAnsi="Times New Roman"/>
      </w:rPr>
    </w:lvl>
    <w:lvl w:ilvl="1">
      <w:start w:val="1"/>
      <w:numFmt w:val="decimal"/>
      <w:lvlText w:val="%1.%2."/>
      <w:lvlJc w:val="left"/>
      <w:pPr>
        <w:ind w:left="6385" w:hanging="432"/>
      </w:pPr>
      <w:rPr>
        <w:sz w:val="22"/>
        <w:b w:val="false"/>
        <w:rFonts w:ascii="Times New Roman" w:hAnsi="Times New Roman"/>
      </w:rPr>
    </w:lvl>
    <w:lvl w:ilvl="2">
      <w:start w:val="1"/>
      <w:numFmt w:val="decimal"/>
      <w:lvlText w:val="%1.%2.%3."/>
      <w:lvlJc w:val="left"/>
      <w:pPr>
        <w:ind w:left="504" w:hanging="504"/>
      </w:pPr>
    </w:lvl>
    <w:lvl w:ilvl="3">
      <w:start w:val="1"/>
      <w:numFmt w:val="decimal"/>
      <w:lvlText w:val="(%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lvl w:ilvl="0">
      <w:start w:val="1"/>
      <w:numFmt w:val="bullet"/>
      <w:lvlText w:val="●"/>
      <w:lvlJc w:val="left"/>
      <w:pPr>
        <w:ind w:left="1077" w:hanging="360"/>
      </w:pPr>
      <w:rPr>
        <w:rFonts w:ascii="Noto Sans Symbols" w:hAnsi="Noto Sans Symbols" w:cs="Noto Sans Symbols" w:hint="default"/>
        <w:sz w:val="22"/>
        <w:b w:val="false"/>
        <w:rFonts w:cs="Noto Sans Symbols"/>
      </w:rPr>
    </w:lvl>
    <w:lvl w:ilvl="1">
      <w:start w:val="1"/>
      <w:numFmt w:val="bullet"/>
      <w:lvlText w:val="o"/>
      <w:lvlJc w:val="left"/>
      <w:pPr>
        <w:ind w:left="1797" w:hanging="360"/>
      </w:pPr>
      <w:rPr>
        <w:rFonts w:ascii="Courier New" w:hAnsi="Courier New" w:cs="Courier New" w:hint="default"/>
        <w:rFonts w:cs="Courier New"/>
      </w:rPr>
    </w:lvl>
    <w:lvl w:ilvl="2">
      <w:start w:val="1"/>
      <w:numFmt w:val="bullet"/>
      <w:lvlText w:val="▪"/>
      <w:lvlJc w:val="left"/>
      <w:pPr>
        <w:ind w:left="2517" w:hanging="360"/>
      </w:pPr>
      <w:rPr>
        <w:rFonts w:ascii="Noto Sans Symbols" w:hAnsi="Noto Sans Symbols" w:cs="Noto Sans Symbols" w:hint="default"/>
        <w:rFonts w:cs="Noto Sans Symbols"/>
      </w:rPr>
    </w:lvl>
    <w:lvl w:ilvl="3">
      <w:start w:val="1"/>
      <w:numFmt w:val="bullet"/>
      <w:lvlText w:val="●"/>
      <w:lvlJc w:val="left"/>
      <w:pPr>
        <w:ind w:left="3237" w:hanging="360"/>
      </w:pPr>
      <w:rPr>
        <w:rFonts w:ascii="Noto Sans Symbols" w:hAnsi="Noto Sans Symbols" w:cs="Noto Sans Symbols" w:hint="default"/>
        <w:rFonts w:cs="Noto Sans Symbols"/>
      </w:rPr>
    </w:lvl>
    <w:lvl w:ilvl="4">
      <w:start w:val="1"/>
      <w:numFmt w:val="bullet"/>
      <w:lvlText w:val="o"/>
      <w:lvlJc w:val="left"/>
      <w:pPr>
        <w:ind w:left="3957" w:hanging="360"/>
      </w:pPr>
      <w:rPr>
        <w:rFonts w:ascii="Courier New" w:hAnsi="Courier New" w:cs="Courier New" w:hint="default"/>
        <w:rFonts w:cs="Courier New"/>
      </w:rPr>
    </w:lvl>
    <w:lvl w:ilvl="5">
      <w:start w:val="1"/>
      <w:numFmt w:val="bullet"/>
      <w:lvlText w:val="▪"/>
      <w:lvlJc w:val="left"/>
      <w:pPr>
        <w:ind w:left="4677" w:hanging="360"/>
      </w:pPr>
      <w:rPr>
        <w:rFonts w:ascii="Noto Sans Symbols" w:hAnsi="Noto Sans Symbols" w:cs="Noto Sans Symbols" w:hint="default"/>
        <w:rFonts w:cs="Noto Sans Symbols"/>
      </w:rPr>
    </w:lvl>
    <w:lvl w:ilvl="6">
      <w:start w:val="1"/>
      <w:numFmt w:val="bullet"/>
      <w:lvlText w:val="●"/>
      <w:lvlJc w:val="left"/>
      <w:pPr>
        <w:ind w:left="5397" w:hanging="360"/>
      </w:pPr>
      <w:rPr>
        <w:rFonts w:ascii="Noto Sans Symbols" w:hAnsi="Noto Sans Symbols" w:cs="Noto Sans Symbols" w:hint="default"/>
        <w:rFonts w:cs="Noto Sans Symbols"/>
      </w:rPr>
    </w:lvl>
    <w:lvl w:ilvl="7">
      <w:start w:val="1"/>
      <w:numFmt w:val="bullet"/>
      <w:lvlText w:val="o"/>
      <w:lvlJc w:val="left"/>
      <w:pPr>
        <w:ind w:left="6117" w:hanging="360"/>
      </w:pPr>
      <w:rPr>
        <w:rFonts w:ascii="Courier New" w:hAnsi="Courier New" w:cs="Courier New" w:hint="default"/>
        <w:rFonts w:cs="Courier New"/>
      </w:rPr>
    </w:lvl>
    <w:lvl w:ilvl="8">
      <w:start w:val="1"/>
      <w:numFmt w:val="bullet"/>
      <w:lvlText w:val="▪"/>
      <w:lvlJc w:val="left"/>
      <w:pPr>
        <w:ind w:left="6837" w:hanging="360"/>
      </w:pPr>
      <w:rPr>
        <w:rFonts w:ascii="Noto Sans Symbols" w:hAnsi="Noto Sans Symbols" w:cs="Noto Sans Symbols" w:hint="default"/>
        <w:rFonts w:cs="Noto Sans Symbols"/>
      </w:rPr>
    </w:lvl>
  </w:abstractNum>
  <w:abstractNum w:abstractNumI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lvl w:ilvl="0">
      <w:start w:val="1"/>
      <w:numFmt w:val="bullet"/>
      <w:lvlText w:val="−"/>
      <w:lvlJc w:val="left"/>
      <w:pPr>
        <w:ind w:left="1077" w:hanging="360"/>
      </w:pPr>
      <w:rPr>
        <w:rFonts w:ascii="Noto Sans Symbols" w:hAnsi="Noto Sans Symbols" w:cs="Noto Sans Symbols" w:hint="default"/>
        <w:sz w:val="22"/>
        <w:b w:val="false"/>
        <w:rFonts w:cs="Noto Sans Symbols"/>
      </w:rPr>
    </w:lvl>
    <w:lvl w:ilvl="1">
      <w:start w:val="1"/>
      <w:numFmt w:val="bullet"/>
      <w:lvlText w:val="o"/>
      <w:lvlJc w:val="left"/>
      <w:pPr>
        <w:ind w:left="1797" w:hanging="360"/>
      </w:pPr>
      <w:rPr>
        <w:rFonts w:ascii="Courier New" w:hAnsi="Courier New" w:cs="Courier New" w:hint="default"/>
        <w:rFonts w:cs="Courier New"/>
      </w:rPr>
    </w:lvl>
    <w:lvl w:ilvl="2">
      <w:start w:val="1"/>
      <w:numFmt w:val="bullet"/>
      <w:lvlText w:val="▪"/>
      <w:lvlJc w:val="left"/>
      <w:pPr>
        <w:ind w:left="2517" w:hanging="360"/>
      </w:pPr>
      <w:rPr>
        <w:rFonts w:ascii="Noto Sans Symbols" w:hAnsi="Noto Sans Symbols" w:cs="Noto Sans Symbols" w:hint="default"/>
        <w:rFonts w:cs="Noto Sans Symbols"/>
      </w:rPr>
    </w:lvl>
    <w:lvl w:ilvl="3">
      <w:start w:val="1"/>
      <w:numFmt w:val="bullet"/>
      <w:lvlText w:val="●"/>
      <w:lvlJc w:val="left"/>
      <w:pPr>
        <w:ind w:left="3237" w:hanging="360"/>
      </w:pPr>
      <w:rPr>
        <w:rFonts w:ascii="Noto Sans Symbols" w:hAnsi="Noto Sans Symbols" w:cs="Noto Sans Symbols" w:hint="default"/>
        <w:rFonts w:cs="Noto Sans Symbols"/>
      </w:rPr>
    </w:lvl>
    <w:lvl w:ilvl="4">
      <w:start w:val="1"/>
      <w:numFmt w:val="bullet"/>
      <w:lvlText w:val="o"/>
      <w:lvlJc w:val="left"/>
      <w:pPr>
        <w:ind w:left="3957" w:hanging="360"/>
      </w:pPr>
      <w:rPr>
        <w:rFonts w:ascii="Courier New" w:hAnsi="Courier New" w:cs="Courier New" w:hint="default"/>
        <w:rFonts w:cs="Courier New"/>
      </w:rPr>
    </w:lvl>
    <w:lvl w:ilvl="5">
      <w:start w:val="1"/>
      <w:numFmt w:val="bullet"/>
      <w:lvlText w:val="▪"/>
      <w:lvlJc w:val="left"/>
      <w:pPr>
        <w:ind w:left="4677" w:hanging="360"/>
      </w:pPr>
      <w:rPr>
        <w:rFonts w:ascii="Noto Sans Symbols" w:hAnsi="Noto Sans Symbols" w:cs="Noto Sans Symbols" w:hint="default"/>
        <w:rFonts w:cs="Noto Sans Symbols"/>
      </w:rPr>
    </w:lvl>
    <w:lvl w:ilvl="6">
      <w:start w:val="1"/>
      <w:numFmt w:val="bullet"/>
      <w:lvlText w:val="●"/>
      <w:lvlJc w:val="left"/>
      <w:pPr>
        <w:ind w:left="5397" w:hanging="360"/>
      </w:pPr>
      <w:rPr>
        <w:rFonts w:ascii="Noto Sans Symbols" w:hAnsi="Noto Sans Symbols" w:cs="Noto Sans Symbols" w:hint="default"/>
        <w:rFonts w:cs="Noto Sans Symbols"/>
      </w:rPr>
    </w:lvl>
    <w:lvl w:ilvl="7">
      <w:start w:val="1"/>
      <w:numFmt w:val="bullet"/>
      <w:lvlText w:val="o"/>
      <w:lvlJc w:val="left"/>
      <w:pPr>
        <w:ind w:left="6117" w:hanging="360"/>
      </w:pPr>
      <w:rPr>
        <w:rFonts w:ascii="Courier New" w:hAnsi="Courier New" w:cs="Courier New" w:hint="default"/>
        <w:rFonts w:cs="Courier New"/>
      </w:rPr>
    </w:lvl>
    <w:lvl w:ilvl="8">
      <w:start w:val="1"/>
      <w:numFmt w:val="bullet"/>
      <w:lvlText w:val="▪"/>
      <w:lvlJc w:val="left"/>
      <w:pPr>
        <w:ind w:left="6837" w:hanging="360"/>
      </w:pPr>
      <w:rPr>
        <w:rFonts w:ascii="Noto Sans Symbols" w:hAnsi="Noto Sans Symbols" w:cs="Noto Sans Symbols" w:hint="default"/>
        <w:rFonts w:cs="Noto Sans Symbols"/>
      </w:rPr>
    </w:lvl>
  </w:abstractNum>
  <w:abstractNum w:abstractNumId="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lvl w:ilvl="0">
      <w:start w:val="1"/>
      <w:numFmt w:val="lowerLetter"/>
      <w:lvlText w:val="%1)"/>
      <w:lvlJc w:val="left"/>
      <w:pPr>
        <w:ind w:left="900" w:hanging="360"/>
      </w:pPr>
    </w:lvl>
    <w:lvl w:ilvl="1">
      <w:start w:val="1"/>
      <w:numFmt w:val="lowerLetter"/>
      <w:lvlText w:val="%2."/>
      <w:lvlJc w:val="left"/>
      <w:pPr>
        <w:ind w:left="1620" w:hanging="360"/>
      </w:pPr>
    </w:lvl>
    <w:lvl w:ilvl="2">
      <w:start w:val="1"/>
      <w:numFmt w:val="lowerRoman"/>
      <w:lvlText w:val="%3."/>
      <w:lvlJc w:val="right"/>
      <w:pPr>
        <w:ind w:left="2340" w:hanging="180"/>
      </w:pPr>
    </w:lvl>
    <w:lvl w:ilvl="3">
      <w:start w:val="1"/>
      <w:numFmt w:val="decimal"/>
      <w:lvlText w:val="%4."/>
      <w:lvlJc w:val="left"/>
      <w:pPr>
        <w:ind w:left="3060" w:hanging="360"/>
      </w:pPr>
    </w:lvl>
    <w:lvl w:ilvl="4">
      <w:start w:val="1"/>
      <w:numFmt w:val="lowerLetter"/>
      <w:lvlText w:val="%5."/>
      <w:lvlJc w:val="left"/>
      <w:pPr>
        <w:ind w:left="3780" w:hanging="360"/>
      </w:pPr>
    </w:lvl>
    <w:lvl w:ilvl="5">
      <w:start w:val="1"/>
      <w:numFmt w:val="lowerRoman"/>
      <w:lvlText w:val="%6."/>
      <w:lvlJc w:val="right"/>
      <w:pPr>
        <w:ind w:left="4500" w:hanging="180"/>
      </w:pPr>
    </w:lvl>
    <w:lvl w:ilvl="6">
      <w:start w:val="1"/>
      <w:numFmt w:val="decimal"/>
      <w:lvlText w:val="%7."/>
      <w:lvlJc w:val="left"/>
      <w:pPr>
        <w:ind w:left="5220" w:hanging="360"/>
      </w:pPr>
    </w:lvl>
    <w:lvl w:ilvl="7">
      <w:start w:val="1"/>
      <w:numFmt w:val="lowerLetter"/>
      <w:lvlText w:val="%8."/>
      <w:lvlJc w:val="left"/>
      <w:pPr>
        <w:ind w:left="5940" w:hanging="360"/>
      </w:pPr>
    </w:lvl>
    <w:lvl w:ilvl="8">
      <w:start w:val="1"/>
      <w:numFmt w:val="lowerRoman"/>
      <w:lvlText w:val="%9."/>
      <w:lvlJc w:val="right"/>
      <w:pPr>
        <w:ind w:left="6660" w:hanging="180"/>
      </w:pPr>
    </w:lvl>
  </w:abstractNum>
  <w:abstractNum w:abstractNumId="9">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200"/>
  <w:defaultTabStop w:val="72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szCs w:val="22"/>
        <w:lang w:val="ru-RU" w:eastAsia="zh-CN" w:bidi="hi-IN"/>
      </w:rPr>
    </w:rPrDefault>
    <w:pPrDefault>
      <w:pPr/>
    </w:pPrDefault>
  </w:docDefaults>
  <w:style w:type="paragraph" w:styleId="Normal" w:default="1">
    <w:name w:val="Normal"/>
    <w:qFormat/>
    <w:rsid w:val="00721ed1"/>
    <w:pPr>
      <w:widowControl/>
      <w:bidi w:val="0"/>
      <w:spacing w:lineRule="auto" w:line="259" w:before="0" w:after="160"/>
      <w:jc w:val="left"/>
    </w:pPr>
    <w:rPr>
      <w:rFonts w:ascii="Times New Roman" w:hAnsi="Times New Roman" w:eastAsia="NSimSun" w:cs="Arial"/>
      <w:color w:val="auto"/>
      <w:kern w:val="0"/>
      <w:sz w:val="22"/>
      <w:szCs w:val="22"/>
      <w:lang w:val="ru-RU" w:eastAsia="zh-CN" w:bidi="hi-IN"/>
    </w:rPr>
  </w:style>
  <w:style w:type="paragraph" w:styleId="Heading1">
    <w:name w:val="Heading 1"/>
    <w:basedOn w:val="Heading2"/>
    <w:next w:val="Normal"/>
    <w:link w:val="10"/>
    <w:uiPriority w:val="9"/>
    <w:qFormat/>
    <w:rsid w:val="00c7687d"/>
    <w:pPr>
      <w:outlineLvl w:val="0"/>
    </w:pPr>
    <w:rPr>
      <w:b/>
      <w:bCs/>
    </w:rPr>
  </w:style>
  <w:style w:type="paragraph" w:styleId="Heading2">
    <w:name w:val="Heading 2"/>
    <w:basedOn w:val="Heading3"/>
    <w:next w:val="Normal"/>
    <w:link w:val="21"/>
    <w:uiPriority w:val="9"/>
    <w:unhideWhenUsed/>
    <w:qFormat/>
    <w:rsid w:val="000b1be2"/>
    <w:pPr>
      <w:ind w:left="924" w:hanging="567"/>
      <w:outlineLvl w:val="1"/>
    </w:pPr>
    <w:rPr/>
  </w:style>
  <w:style w:type="paragraph" w:styleId="Heading3">
    <w:name w:val="Heading 3"/>
    <w:next w:val="Normal"/>
    <w:link w:val="30"/>
    <w:uiPriority w:val="9"/>
    <w:unhideWhenUsed/>
    <w:qFormat/>
    <w:rsid w:val="001941d8"/>
    <w:pPr>
      <w:widowControl/>
      <w:bidi w:val="0"/>
      <w:spacing w:lineRule="auto" w:line="259" w:before="0" w:after="240"/>
      <w:jc w:val="both"/>
      <w:outlineLvl w:val="2"/>
    </w:pPr>
    <w:rPr>
      <w:rFonts w:ascii="Calibri" w:hAnsi="Calibri" w:eastAsia="NSimSun" w:cs="Times New Roman"/>
      <w:color w:val="auto"/>
      <w:kern w:val="0"/>
      <w:sz w:val="22"/>
      <w:szCs w:val="22"/>
      <w:lang w:val="ru-RU" w:eastAsia="zh-CN" w:bidi="hi-IN"/>
    </w:rPr>
  </w:style>
  <w:style w:type="paragraph" w:styleId="Heading4">
    <w:name w:val="Heading 4"/>
    <w:basedOn w:val="Heading3"/>
    <w:next w:val="Normal"/>
    <w:link w:val="40"/>
    <w:uiPriority w:val="9"/>
    <w:unhideWhenUsed/>
    <w:qFormat/>
    <w:rsid w:val="006d78be"/>
    <w:pPr>
      <w:ind w:left="1775" w:hanging="851"/>
      <w:outlineLvl w:val="3"/>
    </w:pPr>
    <w:rPr/>
  </w:style>
  <w:style w:type="paragraph" w:styleId="Heading5">
    <w:name w:val="Heading 5"/>
    <w:basedOn w:val="Normal"/>
    <w:next w:val="Normal"/>
    <w:link w:val="50"/>
    <w:uiPriority w:val="9"/>
    <w:unhideWhenUsed/>
    <w:qFormat/>
    <w:rsid w:val="00855e41"/>
    <w:pPr>
      <w:keepNext w:val="true"/>
      <w:keepLines/>
      <w:jc w:val="center"/>
      <w:outlineLvl w:val="4"/>
    </w:pPr>
    <w:rPr>
      <w:rFonts w:eastAsia="" w:cs="" w:cstheme="majorBidi" w:eastAsiaTheme="majorEastAsia"/>
      <w:b/>
    </w:rPr>
  </w:style>
  <w:style w:type="paragraph" w:styleId="Heading6">
    <w:name w:val="Heading 6"/>
    <w:next w:val="LOnormal"/>
    <w:qFormat/>
    <w:pPr>
      <w:keepNext w:val="true"/>
      <w:keepLines/>
      <w:pageBreakBefore w:val="false"/>
      <w:widowControl/>
      <w:bidi w:val="0"/>
      <w:spacing w:lineRule="auto" w:line="240" w:before="200" w:after="40"/>
      <w:jc w:val="left"/>
    </w:pPr>
    <w:rPr>
      <w:rFonts w:ascii="Calibri" w:hAnsi="Calibri" w:eastAsia="NSimSun" w:cs="Arial"/>
      <w:b/>
      <w:color w:val="auto"/>
      <w:kern w:val="0"/>
      <w:sz w:val="20"/>
      <w:szCs w:val="20"/>
      <w:lang w:val="ru-RU" w:eastAsia="zh-CN" w:bidi="hi-IN"/>
    </w:rPr>
  </w:style>
  <w:style w:type="character" w:styleId="DefaultParagraphFont" w:default="1">
    <w:name w:val="Default Paragraph Font"/>
    <w:uiPriority w:val="1"/>
    <w:semiHidden/>
    <w:unhideWhenUsed/>
    <w:qFormat/>
    <w:rPr/>
  </w:style>
  <w:style w:type="character" w:styleId="3" w:customStyle="1">
    <w:name w:val="Заголовок 3 Знак"/>
    <w:basedOn w:val="DefaultParagraphFont"/>
    <w:link w:val="3"/>
    <w:uiPriority w:val="9"/>
    <w:qFormat/>
    <w:rsid w:val="001941d8"/>
    <w:rPr>
      <w:rFonts w:ascii="Times New Roman" w:hAnsi="Times New Roman" w:cs="Times New Roman"/>
    </w:rPr>
  </w:style>
  <w:style w:type="character" w:styleId="2" w:customStyle="1">
    <w:name w:val="Заголовок 2 Знак"/>
    <w:basedOn w:val="DefaultParagraphFont"/>
    <w:link w:val="20"/>
    <w:uiPriority w:val="9"/>
    <w:qFormat/>
    <w:rsid w:val="000b1be2"/>
    <w:rPr>
      <w:rFonts w:ascii="Times New Roman" w:hAnsi="Times New Roman" w:cs="Times New Roman"/>
    </w:rPr>
  </w:style>
  <w:style w:type="character" w:styleId="1" w:customStyle="1">
    <w:name w:val="Заголовок 1 Знак"/>
    <w:basedOn w:val="DefaultParagraphFont"/>
    <w:link w:val="1"/>
    <w:uiPriority w:val="9"/>
    <w:qFormat/>
    <w:rsid w:val="00c7687d"/>
    <w:rPr>
      <w:rFonts w:ascii="Times New Roman" w:hAnsi="Times New Roman" w:cs="Times New Roman"/>
      <w:b/>
      <w:bCs/>
    </w:rPr>
  </w:style>
  <w:style w:type="character" w:styleId="4" w:customStyle="1">
    <w:name w:val="Заголовок 4 Знак"/>
    <w:basedOn w:val="DefaultParagraphFont"/>
    <w:link w:val="4"/>
    <w:uiPriority w:val="9"/>
    <w:qFormat/>
    <w:rsid w:val="006d78be"/>
    <w:rPr>
      <w:rFonts w:ascii="Times New Roman" w:hAnsi="Times New Roman" w:cs="Times New Roman"/>
    </w:rPr>
  </w:style>
  <w:style w:type="character" w:styleId="5" w:customStyle="1">
    <w:name w:val="Заголовок 5 Знак"/>
    <w:basedOn w:val="DefaultParagraphFont"/>
    <w:link w:val="5"/>
    <w:uiPriority w:val="9"/>
    <w:qFormat/>
    <w:rsid w:val="00855e41"/>
    <w:rPr>
      <w:rFonts w:ascii="Times New Roman" w:hAnsi="Times New Roman" w:eastAsia="" w:cs="" w:cstheme="majorBidi" w:eastAsiaTheme="majorEastAsia"/>
      <w:b/>
    </w:rPr>
  </w:style>
  <w:style w:type="character" w:styleId="Style8" w:customStyle="1">
    <w:name w:val="Верхний колонтитул Знак"/>
    <w:basedOn w:val="DefaultParagraphFont"/>
    <w:link w:val="a5"/>
    <w:uiPriority w:val="99"/>
    <w:qFormat/>
    <w:rsid w:val="001d41df"/>
    <w:rPr/>
  </w:style>
  <w:style w:type="character" w:styleId="Style9" w:customStyle="1">
    <w:name w:val="Нижний колонтитул Знак"/>
    <w:basedOn w:val="DefaultParagraphFont"/>
    <w:link w:val="a7"/>
    <w:uiPriority w:val="99"/>
    <w:qFormat/>
    <w:rsid w:val="001d41df"/>
    <w:rPr/>
  </w:style>
  <w:style w:type="character" w:styleId="Style10" w:customStyle="1">
    <w:name w:val="Текст выноски Знак"/>
    <w:basedOn w:val="DefaultParagraphFont"/>
    <w:link w:val="aa"/>
    <w:uiPriority w:val="99"/>
    <w:semiHidden/>
    <w:qFormat/>
    <w:rsid w:val="00f85e78"/>
    <w:rPr>
      <w:rFonts w:ascii="Segoe UI" w:hAnsi="Segoe UI" w:cs="Segoe UI"/>
      <w:sz w:val="18"/>
      <w:szCs w:val="18"/>
    </w:rPr>
  </w:style>
  <w:style w:type="character" w:styleId="InternetLink">
    <w:name w:val="Internet Link"/>
    <w:basedOn w:val="DefaultParagraphFont"/>
    <w:uiPriority w:val="99"/>
    <w:unhideWhenUsed/>
    <w:rsid w:val="00881544"/>
    <w:rPr>
      <w:color w:val="0563C1" w:themeColor="hyperlink"/>
      <w:u w:val="single"/>
    </w:rPr>
  </w:style>
  <w:style w:type="character" w:styleId="Style11" w:customStyle="1">
    <w:name w:val="Основной текст с отступом Знак"/>
    <w:basedOn w:val="DefaultParagraphFont"/>
    <w:link w:val="a"/>
    <w:qFormat/>
    <w:rsid w:val="00dc2785"/>
    <w:rPr>
      <w:rFonts w:ascii="Times New Roman" w:hAnsi="Times New Roman" w:eastAsia="STZhongsong" w:cs="Times New Roman"/>
      <w:szCs w:val="20"/>
      <w:lang w:val="en-GB" w:eastAsia="zh-CN"/>
    </w:rPr>
  </w:style>
  <w:style w:type="character" w:styleId="21" w:customStyle="1">
    <w:name w:val="Основной текст с отступом 2 Знак"/>
    <w:basedOn w:val="DefaultParagraphFont"/>
    <w:link w:val="2"/>
    <w:qFormat/>
    <w:rsid w:val="00dc2785"/>
    <w:rPr>
      <w:rFonts w:ascii="Times New Roman" w:hAnsi="Times New Roman" w:eastAsia="STZhongsong" w:cs="Times New Roman"/>
      <w:szCs w:val="20"/>
      <w:lang w:val="en-GB" w:eastAsia="zh-CN"/>
    </w:rPr>
  </w:style>
  <w:style w:type="character" w:styleId="Style12" w:customStyle="1">
    <w:name w:val="Основной текст Знак"/>
    <w:basedOn w:val="DefaultParagraphFont"/>
    <w:link w:val="af"/>
    <w:uiPriority w:val="99"/>
    <w:semiHidden/>
    <w:qFormat/>
    <w:rsid w:val="00a8483d"/>
    <w:rPr>
      <w:rFonts w:ascii="Times New Roman" w:hAnsi="Times New Roman"/>
    </w:rPr>
  </w:style>
  <w:style w:type="character" w:styleId="Annotationreference">
    <w:name w:val="annotation reference"/>
    <w:basedOn w:val="DefaultParagraphFont"/>
    <w:uiPriority w:val="99"/>
    <w:semiHidden/>
    <w:unhideWhenUsed/>
    <w:qFormat/>
    <w:rsid w:val="003545f2"/>
    <w:rPr>
      <w:sz w:val="16"/>
      <w:szCs w:val="16"/>
    </w:rPr>
  </w:style>
  <w:style w:type="character" w:styleId="Style13" w:customStyle="1">
    <w:name w:val="Текст примечания Знак"/>
    <w:basedOn w:val="DefaultParagraphFont"/>
    <w:link w:val="af2"/>
    <w:uiPriority w:val="99"/>
    <w:qFormat/>
    <w:rsid w:val="003545f2"/>
    <w:rPr>
      <w:rFonts w:ascii="Times New Roman" w:hAnsi="Times New Roman"/>
      <w:sz w:val="20"/>
      <w:szCs w:val="20"/>
    </w:rPr>
  </w:style>
  <w:style w:type="character" w:styleId="Style14" w:customStyle="1">
    <w:name w:val="Тема примечания Знак"/>
    <w:basedOn w:val="Style13"/>
    <w:link w:val="af4"/>
    <w:uiPriority w:val="99"/>
    <w:semiHidden/>
    <w:qFormat/>
    <w:rsid w:val="003545f2"/>
    <w:rPr>
      <w:rFonts w:ascii="Times New Roman" w:hAnsi="Times New Roman"/>
      <w:b/>
      <w:bCs/>
      <w:sz w:val="20"/>
      <w:szCs w:val="20"/>
    </w:rPr>
  </w:style>
  <w:style w:type="character" w:styleId="11" w:customStyle="1">
    <w:name w:val="Неразрешенное упоминание1"/>
    <w:basedOn w:val="DefaultParagraphFont"/>
    <w:uiPriority w:val="99"/>
    <w:semiHidden/>
    <w:unhideWhenUsed/>
    <w:qFormat/>
    <w:rsid w:val="00ff5eb4"/>
    <w:rPr>
      <w:color w:val="605E5C"/>
      <w:shd w:fill="E1DFDD" w:val="clear"/>
    </w:rPr>
  </w:style>
  <w:style w:type="character" w:styleId="FollowedHyperlink">
    <w:name w:val="FollowedHyperlink"/>
    <w:basedOn w:val="DefaultParagraphFont"/>
    <w:uiPriority w:val="99"/>
    <w:semiHidden/>
    <w:unhideWhenUsed/>
    <w:qFormat/>
    <w:rsid w:val="001b7adf"/>
    <w:rPr>
      <w:color w:val="954F72" w:themeColor="followedHyperlink"/>
      <w:u w:val="single"/>
    </w:rPr>
  </w:style>
  <w:style w:type="character" w:styleId="ListLabel1">
    <w:name w:val="ListLabel 1"/>
    <w:qFormat/>
    <w:rPr>
      <w:rFonts w:ascii="Times New Roman" w:hAnsi="Times New Roman"/>
      <w:b w:val="false"/>
      <w:sz w:val="22"/>
    </w:rPr>
  </w:style>
  <w:style w:type="character" w:styleId="ListLabel2">
    <w:name w:val="ListLabel 2"/>
    <w:qFormat/>
    <w:rPr>
      <w:rFonts w:ascii="Times New Roman" w:hAnsi="Times New Roman"/>
      <w:b w:val="false"/>
      <w:sz w:val="22"/>
    </w:rPr>
  </w:style>
  <w:style w:type="character" w:styleId="ListLabel3">
    <w:name w:val="ListLabel 3"/>
    <w:qFormat/>
    <w:rPr>
      <w:rFonts w:ascii="Times New Roman" w:hAnsi="Times New Roman" w:eastAsia="Noto Sans Symbols" w:cs="Noto Sans Symbols"/>
      <w:b w:val="false"/>
      <w:sz w:val="22"/>
    </w:rPr>
  </w:style>
  <w:style w:type="character" w:styleId="ListLabel4">
    <w:name w:val="ListLabel 4"/>
    <w:qFormat/>
    <w:rPr>
      <w:rFonts w:eastAsia="Courier New" w:cs="Courier New"/>
    </w:rPr>
  </w:style>
  <w:style w:type="character" w:styleId="ListLabel5">
    <w:name w:val="ListLabel 5"/>
    <w:qFormat/>
    <w:rPr>
      <w:rFonts w:eastAsia="Noto Sans Symbols" w:cs="Noto Sans Symbols"/>
    </w:rPr>
  </w:style>
  <w:style w:type="character" w:styleId="ListLabel6">
    <w:name w:val="ListLabel 6"/>
    <w:qFormat/>
    <w:rPr>
      <w:rFonts w:eastAsia="Noto Sans Symbols" w:cs="Noto Sans Symbols"/>
    </w:rPr>
  </w:style>
  <w:style w:type="character" w:styleId="ListLabel7">
    <w:name w:val="ListLabel 7"/>
    <w:qFormat/>
    <w:rPr>
      <w:rFonts w:eastAsia="Courier New" w:cs="Courier New"/>
    </w:rPr>
  </w:style>
  <w:style w:type="character" w:styleId="ListLabel8">
    <w:name w:val="ListLabel 8"/>
    <w:qFormat/>
    <w:rPr>
      <w:rFonts w:eastAsia="Noto Sans Symbols" w:cs="Noto Sans Symbols"/>
    </w:rPr>
  </w:style>
  <w:style w:type="character" w:styleId="ListLabel9">
    <w:name w:val="ListLabel 9"/>
    <w:qFormat/>
    <w:rPr>
      <w:rFonts w:eastAsia="Noto Sans Symbols" w:cs="Noto Sans Symbols"/>
    </w:rPr>
  </w:style>
  <w:style w:type="character" w:styleId="ListLabel10">
    <w:name w:val="ListLabel 10"/>
    <w:qFormat/>
    <w:rPr>
      <w:rFonts w:eastAsia="Courier New" w:cs="Courier New"/>
    </w:rPr>
  </w:style>
  <w:style w:type="character" w:styleId="ListLabel11">
    <w:name w:val="ListLabel 11"/>
    <w:qFormat/>
    <w:rPr>
      <w:rFonts w:eastAsia="Noto Sans Symbols" w:cs="Noto Sans Symbols"/>
    </w:rPr>
  </w:style>
  <w:style w:type="character" w:styleId="ListLabel12">
    <w:name w:val="ListLabel 12"/>
    <w:qFormat/>
    <w:rPr>
      <w:rFonts w:ascii="Times New Roman" w:hAnsi="Times New Roman" w:eastAsia="Noto Sans Symbols" w:cs="Noto Sans Symbols"/>
      <w:b w:val="false"/>
      <w:sz w:val="22"/>
    </w:rPr>
  </w:style>
  <w:style w:type="character" w:styleId="ListLabel13">
    <w:name w:val="ListLabel 13"/>
    <w:qFormat/>
    <w:rPr>
      <w:rFonts w:eastAsia="Courier New" w:cs="Courier New"/>
    </w:rPr>
  </w:style>
  <w:style w:type="character" w:styleId="ListLabel14">
    <w:name w:val="ListLabel 14"/>
    <w:qFormat/>
    <w:rPr>
      <w:rFonts w:eastAsia="Noto Sans Symbols" w:cs="Noto Sans Symbols"/>
    </w:rPr>
  </w:style>
  <w:style w:type="character" w:styleId="ListLabel15">
    <w:name w:val="ListLabel 15"/>
    <w:qFormat/>
    <w:rPr>
      <w:rFonts w:eastAsia="Noto Sans Symbols" w:cs="Noto Sans Symbols"/>
    </w:rPr>
  </w:style>
  <w:style w:type="character" w:styleId="ListLabel16">
    <w:name w:val="ListLabel 16"/>
    <w:qFormat/>
    <w:rPr>
      <w:rFonts w:eastAsia="Courier New" w:cs="Courier New"/>
    </w:rPr>
  </w:style>
  <w:style w:type="character" w:styleId="ListLabel17">
    <w:name w:val="ListLabel 17"/>
    <w:qFormat/>
    <w:rPr>
      <w:rFonts w:eastAsia="Noto Sans Symbols" w:cs="Noto Sans Symbols"/>
    </w:rPr>
  </w:style>
  <w:style w:type="character" w:styleId="ListLabel18">
    <w:name w:val="ListLabel 18"/>
    <w:qFormat/>
    <w:rPr>
      <w:rFonts w:eastAsia="Noto Sans Symbols" w:cs="Noto Sans Symbols"/>
    </w:rPr>
  </w:style>
  <w:style w:type="character" w:styleId="ListLabel19">
    <w:name w:val="ListLabel 19"/>
    <w:qFormat/>
    <w:rPr>
      <w:rFonts w:eastAsia="Courier New" w:cs="Courier New"/>
    </w:rPr>
  </w:style>
  <w:style w:type="character" w:styleId="ListLabel20">
    <w:name w:val="ListLabel 20"/>
    <w:qFormat/>
    <w:rPr>
      <w:rFonts w:eastAsia="Noto Sans Symbols" w:cs="Noto Sans Symbols"/>
    </w:rPr>
  </w:style>
  <w:style w:type="character" w:styleId="ListLabel21">
    <w:name w:val="ListLabel 21"/>
    <w:qFormat/>
    <w:rPr>
      <w:rFonts w:ascii="Times New Roman" w:hAnsi="Times New Roman"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22">
    <w:name w:val="ListLabel 22"/>
    <w:qFormat/>
    <w:rPr>
      <w:rFonts w:ascii="Times New Roman" w:hAnsi="Times New Roman" w:eastAsia="Times New Roman" w:cs="Times New Roman"/>
      <w:i w:val="false"/>
      <w:caps w:val="false"/>
      <w:smallCaps w:val="false"/>
      <w:color w:val="1155CC"/>
      <w:position w:val="0"/>
      <w:sz w:val="22"/>
      <w:sz w:val="22"/>
      <w:szCs w:val="22"/>
      <w:shd w:fill="auto" w:val="clear"/>
      <w:vertAlign w:val="baseline"/>
    </w:rPr>
  </w:style>
  <w:style w:type="character" w:styleId="ListLabel23">
    <w:name w:val="ListLabel 23"/>
    <w:qFormat/>
    <w:rPr>
      <w:rFonts w:ascii="Times New Roman" w:hAnsi="Times New Roman"/>
      <w:b w:val="false"/>
      <w:sz w:val="22"/>
    </w:rPr>
  </w:style>
  <w:style w:type="character" w:styleId="ListLabel24">
    <w:name w:val="ListLabel 24"/>
    <w:qFormat/>
    <w:rPr>
      <w:rFonts w:ascii="Times New Roman" w:hAnsi="Times New Roman"/>
      <w:b w:val="false"/>
      <w:sz w:val="22"/>
    </w:rPr>
  </w:style>
  <w:style w:type="character" w:styleId="ListLabel25">
    <w:name w:val="ListLabel 25"/>
    <w:qFormat/>
    <w:rPr>
      <w:rFonts w:ascii="Times New Roman" w:hAnsi="Times New Roman" w:cs="Noto Sans Symbols"/>
      <w:b w:val="false"/>
      <w:sz w:val="22"/>
    </w:rPr>
  </w:style>
  <w:style w:type="character" w:styleId="ListLabel26">
    <w:name w:val="ListLabel 26"/>
    <w:qFormat/>
    <w:rPr>
      <w:rFonts w:cs="Courier New"/>
    </w:rPr>
  </w:style>
  <w:style w:type="character" w:styleId="ListLabel27">
    <w:name w:val="ListLabel 27"/>
    <w:qFormat/>
    <w:rPr>
      <w:rFonts w:cs="Noto Sans Symbols"/>
    </w:rPr>
  </w:style>
  <w:style w:type="character" w:styleId="ListLabel28">
    <w:name w:val="ListLabel 28"/>
    <w:qFormat/>
    <w:rPr>
      <w:rFonts w:cs="Noto Sans Symbols"/>
    </w:rPr>
  </w:style>
  <w:style w:type="character" w:styleId="ListLabel29">
    <w:name w:val="ListLabel 29"/>
    <w:qFormat/>
    <w:rPr>
      <w:rFonts w:cs="Courier New"/>
    </w:rPr>
  </w:style>
  <w:style w:type="character" w:styleId="ListLabel30">
    <w:name w:val="ListLabel 30"/>
    <w:qFormat/>
    <w:rPr>
      <w:rFonts w:cs="Noto Sans Symbols"/>
    </w:rPr>
  </w:style>
  <w:style w:type="character" w:styleId="ListLabel31">
    <w:name w:val="ListLabel 31"/>
    <w:qFormat/>
    <w:rPr>
      <w:rFonts w:cs="Noto Sans Symbols"/>
    </w:rPr>
  </w:style>
  <w:style w:type="character" w:styleId="ListLabel32">
    <w:name w:val="ListLabel 32"/>
    <w:qFormat/>
    <w:rPr>
      <w:rFonts w:cs="Courier New"/>
    </w:rPr>
  </w:style>
  <w:style w:type="character" w:styleId="ListLabel33">
    <w:name w:val="ListLabel 33"/>
    <w:qFormat/>
    <w:rPr>
      <w:rFonts w:cs="Noto Sans Symbols"/>
    </w:rPr>
  </w:style>
  <w:style w:type="character" w:styleId="ListLabel34">
    <w:name w:val="ListLabel 34"/>
    <w:qFormat/>
    <w:rPr>
      <w:rFonts w:ascii="Times New Roman" w:hAnsi="Times New Roman" w:cs="Noto Sans Symbols"/>
      <w:b w:val="false"/>
      <w:sz w:val="22"/>
    </w:rPr>
  </w:style>
  <w:style w:type="character" w:styleId="ListLabel35">
    <w:name w:val="ListLabel 35"/>
    <w:qFormat/>
    <w:rPr>
      <w:rFonts w:cs="Courier New"/>
    </w:rPr>
  </w:style>
  <w:style w:type="character" w:styleId="ListLabel36">
    <w:name w:val="ListLabel 36"/>
    <w:qFormat/>
    <w:rPr>
      <w:rFonts w:cs="Noto Sans Symbols"/>
    </w:rPr>
  </w:style>
  <w:style w:type="character" w:styleId="ListLabel37">
    <w:name w:val="ListLabel 37"/>
    <w:qFormat/>
    <w:rPr>
      <w:rFonts w:cs="Noto Sans Symbols"/>
    </w:rPr>
  </w:style>
  <w:style w:type="character" w:styleId="ListLabel38">
    <w:name w:val="ListLabel 38"/>
    <w:qFormat/>
    <w:rPr>
      <w:rFonts w:cs="Courier New"/>
    </w:rPr>
  </w:style>
  <w:style w:type="character" w:styleId="ListLabel39">
    <w:name w:val="ListLabel 39"/>
    <w:qFormat/>
    <w:rPr>
      <w:rFonts w:cs="Noto Sans Symbols"/>
    </w:rPr>
  </w:style>
  <w:style w:type="character" w:styleId="ListLabel40">
    <w:name w:val="ListLabel 40"/>
    <w:qFormat/>
    <w:rPr>
      <w:rFonts w:cs="Noto Sans Symbols"/>
    </w:rPr>
  </w:style>
  <w:style w:type="character" w:styleId="ListLabel41">
    <w:name w:val="ListLabel 41"/>
    <w:qFormat/>
    <w:rPr>
      <w:rFonts w:cs="Courier New"/>
    </w:rPr>
  </w:style>
  <w:style w:type="character" w:styleId="ListLabel42">
    <w:name w:val="ListLabel 42"/>
    <w:qFormat/>
    <w:rPr>
      <w:rFonts w:cs="Noto Sans Symbols"/>
    </w:rPr>
  </w:style>
  <w:style w:type="character" w:styleId="ListLabel43">
    <w:name w:val="ListLabel 43"/>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44">
    <w:name w:val="ListLabel 44"/>
    <w:qFormat/>
    <w:rPr>
      <w:rFonts w:eastAsia="Times New Roman" w:cs="Times New Roman"/>
      <w:i w:val="false"/>
      <w:caps w:val="false"/>
      <w:smallCaps w:val="false"/>
      <w:color w:val="1155CC"/>
      <w:position w:val="0"/>
      <w:sz w:val="22"/>
      <w:sz w:val="22"/>
      <w:szCs w:val="22"/>
      <w:shd w:fill="auto" w:val="clear"/>
      <w:vertAlign w:val="baseline"/>
    </w:rPr>
  </w:style>
  <w:style w:type="character" w:styleId="ListLabel45">
    <w:name w:val="ListLabel 45"/>
    <w:qFormat/>
    <w:rPr>
      <w:rFonts w:ascii="Times New Roman" w:hAnsi="Times New Roman"/>
      <w:b w:val="false"/>
      <w:sz w:val="22"/>
    </w:rPr>
  </w:style>
  <w:style w:type="character" w:styleId="ListLabel46">
    <w:name w:val="ListLabel 46"/>
    <w:qFormat/>
    <w:rPr>
      <w:rFonts w:ascii="Times New Roman" w:hAnsi="Times New Roman"/>
      <w:b w:val="false"/>
      <w:sz w:val="22"/>
    </w:rPr>
  </w:style>
  <w:style w:type="character" w:styleId="ListLabel47">
    <w:name w:val="ListLabel 47"/>
    <w:qFormat/>
    <w:rPr>
      <w:rFonts w:ascii="Times New Roman" w:hAnsi="Times New Roman" w:cs="Noto Sans Symbols"/>
      <w:b w:val="false"/>
      <w:sz w:val="22"/>
    </w:rPr>
  </w:style>
  <w:style w:type="character" w:styleId="ListLabel48">
    <w:name w:val="ListLabel 48"/>
    <w:qFormat/>
    <w:rPr>
      <w:rFonts w:cs="Courier New"/>
    </w:rPr>
  </w:style>
  <w:style w:type="character" w:styleId="ListLabel49">
    <w:name w:val="ListLabel 49"/>
    <w:qFormat/>
    <w:rPr>
      <w:rFonts w:cs="Noto Sans Symbols"/>
    </w:rPr>
  </w:style>
  <w:style w:type="character" w:styleId="ListLabel50">
    <w:name w:val="ListLabel 50"/>
    <w:qFormat/>
    <w:rPr>
      <w:rFonts w:cs="Noto Sans Symbols"/>
    </w:rPr>
  </w:style>
  <w:style w:type="character" w:styleId="ListLabel51">
    <w:name w:val="ListLabel 51"/>
    <w:qFormat/>
    <w:rPr>
      <w:rFonts w:cs="Courier New"/>
    </w:rPr>
  </w:style>
  <w:style w:type="character" w:styleId="ListLabel52">
    <w:name w:val="ListLabel 52"/>
    <w:qFormat/>
    <w:rPr>
      <w:rFonts w:cs="Noto Sans Symbols"/>
    </w:rPr>
  </w:style>
  <w:style w:type="character" w:styleId="ListLabel53">
    <w:name w:val="ListLabel 53"/>
    <w:qFormat/>
    <w:rPr>
      <w:rFonts w:cs="Noto Sans Symbols"/>
    </w:rPr>
  </w:style>
  <w:style w:type="character" w:styleId="ListLabel54">
    <w:name w:val="ListLabel 54"/>
    <w:qFormat/>
    <w:rPr>
      <w:rFonts w:cs="Courier New"/>
    </w:rPr>
  </w:style>
  <w:style w:type="character" w:styleId="ListLabel55">
    <w:name w:val="ListLabel 55"/>
    <w:qFormat/>
    <w:rPr>
      <w:rFonts w:cs="Noto Sans Symbols"/>
    </w:rPr>
  </w:style>
  <w:style w:type="character" w:styleId="ListLabel56">
    <w:name w:val="ListLabel 56"/>
    <w:qFormat/>
    <w:rPr>
      <w:rFonts w:ascii="Times New Roman" w:hAnsi="Times New Roman" w:cs="Noto Sans Symbols"/>
      <w:b w:val="false"/>
      <w:sz w:val="22"/>
    </w:rPr>
  </w:style>
  <w:style w:type="character" w:styleId="ListLabel57">
    <w:name w:val="ListLabel 57"/>
    <w:qFormat/>
    <w:rPr>
      <w:rFonts w:cs="Courier New"/>
    </w:rPr>
  </w:style>
  <w:style w:type="character" w:styleId="ListLabel58">
    <w:name w:val="ListLabel 58"/>
    <w:qFormat/>
    <w:rPr>
      <w:rFonts w:cs="Noto Sans Symbols"/>
    </w:rPr>
  </w:style>
  <w:style w:type="character" w:styleId="ListLabel59">
    <w:name w:val="ListLabel 59"/>
    <w:qFormat/>
    <w:rPr>
      <w:rFonts w:cs="Noto Sans Symbols"/>
    </w:rPr>
  </w:style>
  <w:style w:type="character" w:styleId="ListLabel60">
    <w:name w:val="ListLabel 60"/>
    <w:qFormat/>
    <w:rPr>
      <w:rFonts w:cs="Courier New"/>
    </w:rPr>
  </w:style>
  <w:style w:type="character" w:styleId="ListLabel61">
    <w:name w:val="ListLabel 61"/>
    <w:qFormat/>
    <w:rPr>
      <w:rFonts w:cs="Noto Sans Symbols"/>
    </w:rPr>
  </w:style>
  <w:style w:type="character" w:styleId="ListLabel62">
    <w:name w:val="ListLabel 62"/>
    <w:qFormat/>
    <w:rPr>
      <w:rFonts w:cs="Noto Sans Symbols"/>
    </w:rPr>
  </w:style>
  <w:style w:type="character" w:styleId="ListLabel63">
    <w:name w:val="ListLabel 63"/>
    <w:qFormat/>
    <w:rPr>
      <w:rFonts w:cs="Courier New"/>
    </w:rPr>
  </w:style>
  <w:style w:type="character" w:styleId="ListLabel64">
    <w:name w:val="ListLabel 64"/>
    <w:qFormat/>
    <w:rPr>
      <w:rFonts w:cs="Noto Sans Symbols"/>
    </w:rPr>
  </w:style>
  <w:style w:type="character" w:styleId="ListLabel65">
    <w:name w:val="ListLabel 65"/>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66">
    <w:name w:val="ListLabel 66"/>
    <w:qFormat/>
    <w:rPr>
      <w:rFonts w:eastAsia="Times New Roman" w:cs="Times New Roman"/>
      <w:i w:val="false"/>
      <w:caps w:val="false"/>
      <w:smallCaps w:val="false"/>
      <w:color w:val="1155CC"/>
      <w:position w:val="0"/>
      <w:sz w:val="22"/>
      <w:sz w:val="22"/>
      <w:szCs w:val="22"/>
      <w:shd w:fill="auto" w:val="clear"/>
      <w:vertAlign w:val="baseline"/>
    </w:rPr>
  </w:style>
  <w:style w:type="character" w:styleId="ListLabel67">
    <w:name w:val="ListLabel 67"/>
    <w:qFormat/>
    <w:rPr>
      <w:rFonts w:ascii="Times New Roman" w:hAnsi="Times New Roman"/>
      <w:b w:val="false"/>
      <w:sz w:val="22"/>
    </w:rPr>
  </w:style>
  <w:style w:type="character" w:styleId="ListLabel68">
    <w:name w:val="ListLabel 68"/>
    <w:qFormat/>
    <w:rPr>
      <w:rFonts w:ascii="Times New Roman" w:hAnsi="Times New Roman"/>
      <w:b w:val="false"/>
      <w:sz w:val="22"/>
    </w:rPr>
  </w:style>
  <w:style w:type="character" w:styleId="ListLabel69">
    <w:name w:val="ListLabel 69"/>
    <w:qFormat/>
    <w:rPr>
      <w:rFonts w:ascii="Times New Roman" w:hAnsi="Times New Roman" w:cs="Noto Sans Symbols"/>
      <w:b w:val="false"/>
      <w:sz w:val="22"/>
    </w:rPr>
  </w:style>
  <w:style w:type="character" w:styleId="ListLabel70">
    <w:name w:val="ListLabel 70"/>
    <w:qFormat/>
    <w:rPr>
      <w:rFonts w:cs="Courier New"/>
    </w:rPr>
  </w:style>
  <w:style w:type="character" w:styleId="ListLabel71">
    <w:name w:val="ListLabel 71"/>
    <w:qFormat/>
    <w:rPr>
      <w:rFonts w:cs="Noto Sans Symbols"/>
    </w:rPr>
  </w:style>
  <w:style w:type="character" w:styleId="ListLabel72">
    <w:name w:val="ListLabel 72"/>
    <w:qFormat/>
    <w:rPr>
      <w:rFonts w:cs="Noto Sans Symbols"/>
    </w:rPr>
  </w:style>
  <w:style w:type="character" w:styleId="ListLabel73">
    <w:name w:val="ListLabel 73"/>
    <w:qFormat/>
    <w:rPr>
      <w:rFonts w:cs="Courier New"/>
    </w:rPr>
  </w:style>
  <w:style w:type="character" w:styleId="ListLabel74">
    <w:name w:val="ListLabel 74"/>
    <w:qFormat/>
    <w:rPr>
      <w:rFonts w:cs="Noto Sans Symbols"/>
    </w:rPr>
  </w:style>
  <w:style w:type="character" w:styleId="ListLabel75">
    <w:name w:val="ListLabel 75"/>
    <w:qFormat/>
    <w:rPr>
      <w:rFonts w:cs="Noto Sans Symbols"/>
    </w:rPr>
  </w:style>
  <w:style w:type="character" w:styleId="ListLabel76">
    <w:name w:val="ListLabel 76"/>
    <w:qFormat/>
    <w:rPr>
      <w:rFonts w:cs="Courier New"/>
    </w:rPr>
  </w:style>
  <w:style w:type="character" w:styleId="ListLabel77">
    <w:name w:val="ListLabel 77"/>
    <w:qFormat/>
    <w:rPr>
      <w:rFonts w:cs="Noto Sans Symbols"/>
    </w:rPr>
  </w:style>
  <w:style w:type="character" w:styleId="ListLabel78">
    <w:name w:val="ListLabel 78"/>
    <w:qFormat/>
    <w:rPr>
      <w:rFonts w:ascii="Times New Roman" w:hAnsi="Times New Roman" w:cs="Noto Sans Symbols"/>
      <w:b w:val="false"/>
      <w:sz w:val="22"/>
    </w:rPr>
  </w:style>
  <w:style w:type="character" w:styleId="ListLabel79">
    <w:name w:val="ListLabel 79"/>
    <w:qFormat/>
    <w:rPr>
      <w:rFonts w:cs="Courier New"/>
    </w:rPr>
  </w:style>
  <w:style w:type="character" w:styleId="ListLabel80">
    <w:name w:val="ListLabel 80"/>
    <w:qFormat/>
    <w:rPr>
      <w:rFonts w:cs="Noto Sans Symbols"/>
    </w:rPr>
  </w:style>
  <w:style w:type="character" w:styleId="ListLabel81">
    <w:name w:val="ListLabel 81"/>
    <w:qFormat/>
    <w:rPr>
      <w:rFonts w:cs="Noto Sans Symbols"/>
    </w:rPr>
  </w:style>
  <w:style w:type="character" w:styleId="ListLabel82">
    <w:name w:val="ListLabel 82"/>
    <w:qFormat/>
    <w:rPr>
      <w:rFonts w:cs="Courier New"/>
    </w:rPr>
  </w:style>
  <w:style w:type="character" w:styleId="ListLabel83">
    <w:name w:val="ListLabel 83"/>
    <w:qFormat/>
    <w:rPr>
      <w:rFonts w:cs="Noto Sans Symbols"/>
    </w:rPr>
  </w:style>
  <w:style w:type="character" w:styleId="ListLabel84">
    <w:name w:val="ListLabel 84"/>
    <w:qFormat/>
    <w:rPr>
      <w:rFonts w:cs="Noto Sans Symbols"/>
    </w:rPr>
  </w:style>
  <w:style w:type="character" w:styleId="ListLabel85">
    <w:name w:val="ListLabel 85"/>
    <w:qFormat/>
    <w:rPr>
      <w:rFonts w:cs="Courier New"/>
    </w:rPr>
  </w:style>
  <w:style w:type="character" w:styleId="ListLabel86">
    <w:name w:val="ListLabel 86"/>
    <w:qFormat/>
    <w:rPr>
      <w:rFonts w:cs="Noto Sans Symbols"/>
    </w:rPr>
  </w:style>
  <w:style w:type="character" w:styleId="ListLabel87">
    <w:name w:val="ListLabel 87"/>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88">
    <w:name w:val="ListLabel 88"/>
    <w:qFormat/>
    <w:rPr>
      <w:rFonts w:eastAsia="Times New Roman" w:cs="Times New Roman"/>
      <w:i w:val="false"/>
      <w:caps w:val="false"/>
      <w:smallCaps w:val="false"/>
      <w:color w:val="1155CC"/>
      <w:position w:val="0"/>
      <w:sz w:val="22"/>
      <w:sz w:val="22"/>
      <w:szCs w:val="22"/>
      <w:shd w:fill="auto" w:val="clear"/>
      <w:vertAlign w:val="baseline"/>
    </w:rPr>
  </w:style>
  <w:style w:type="character" w:styleId="ListLabel89">
    <w:name w:val="ListLabel 89"/>
    <w:qFormat/>
    <w:rPr>
      <w:rFonts w:ascii="Times New Roman" w:hAnsi="Times New Roman"/>
      <w:b w:val="false"/>
      <w:sz w:val="22"/>
    </w:rPr>
  </w:style>
  <w:style w:type="character" w:styleId="ListLabel90">
    <w:name w:val="ListLabel 90"/>
    <w:qFormat/>
    <w:rPr>
      <w:rFonts w:ascii="Times New Roman" w:hAnsi="Times New Roman"/>
      <w:b w:val="false"/>
      <w:sz w:val="22"/>
    </w:rPr>
  </w:style>
  <w:style w:type="character" w:styleId="ListLabel91">
    <w:name w:val="ListLabel 91"/>
    <w:qFormat/>
    <w:rPr>
      <w:rFonts w:ascii="Times New Roman" w:hAnsi="Times New Roman" w:cs="Noto Sans Symbols"/>
      <w:b w:val="false"/>
      <w:sz w:val="22"/>
    </w:rPr>
  </w:style>
  <w:style w:type="character" w:styleId="ListLabel92">
    <w:name w:val="ListLabel 92"/>
    <w:qFormat/>
    <w:rPr>
      <w:rFonts w:cs="Courier New"/>
    </w:rPr>
  </w:style>
  <w:style w:type="character" w:styleId="ListLabel93">
    <w:name w:val="ListLabel 93"/>
    <w:qFormat/>
    <w:rPr>
      <w:rFonts w:cs="Noto Sans Symbols"/>
    </w:rPr>
  </w:style>
  <w:style w:type="character" w:styleId="ListLabel94">
    <w:name w:val="ListLabel 94"/>
    <w:qFormat/>
    <w:rPr>
      <w:rFonts w:cs="Noto Sans Symbols"/>
    </w:rPr>
  </w:style>
  <w:style w:type="character" w:styleId="ListLabel95">
    <w:name w:val="ListLabel 95"/>
    <w:qFormat/>
    <w:rPr>
      <w:rFonts w:cs="Courier New"/>
    </w:rPr>
  </w:style>
  <w:style w:type="character" w:styleId="ListLabel96">
    <w:name w:val="ListLabel 96"/>
    <w:qFormat/>
    <w:rPr>
      <w:rFonts w:cs="Noto Sans Symbols"/>
    </w:rPr>
  </w:style>
  <w:style w:type="character" w:styleId="ListLabel97">
    <w:name w:val="ListLabel 97"/>
    <w:qFormat/>
    <w:rPr>
      <w:rFonts w:cs="Noto Sans Symbols"/>
    </w:rPr>
  </w:style>
  <w:style w:type="character" w:styleId="ListLabel98">
    <w:name w:val="ListLabel 98"/>
    <w:qFormat/>
    <w:rPr>
      <w:rFonts w:cs="Courier New"/>
    </w:rPr>
  </w:style>
  <w:style w:type="character" w:styleId="ListLabel99">
    <w:name w:val="ListLabel 99"/>
    <w:qFormat/>
    <w:rPr>
      <w:rFonts w:cs="Noto Sans Symbols"/>
    </w:rPr>
  </w:style>
  <w:style w:type="character" w:styleId="ListLabel100">
    <w:name w:val="ListLabel 100"/>
    <w:qFormat/>
    <w:rPr>
      <w:rFonts w:ascii="Times New Roman" w:hAnsi="Times New Roman" w:cs="Noto Sans Symbols"/>
      <w:b w:val="false"/>
      <w:sz w:val="22"/>
    </w:rPr>
  </w:style>
  <w:style w:type="character" w:styleId="ListLabel101">
    <w:name w:val="ListLabel 101"/>
    <w:qFormat/>
    <w:rPr>
      <w:rFonts w:cs="Courier New"/>
    </w:rPr>
  </w:style>
  <w:style w:type="character" w:styleId="ListLabel102">
    <w:name w:val="ListLabel 102"/>
    <w:qFormat/>
    <w:rPr>
      <w:rFonts w:cs="Noto Sans Symbols"/>
    </w:rPr>
  </w:style>
  <w:style w:type="character" w:styleId="ListLabel103">
    <w:name w:val="ListLabel 103"/>
    <w:qFormat/>
    <w:rPr>
      <w:rFonts w:cs="Noto Sans Symbols"/>
    </w:rPr>
  </w:style>
  <w:style w:type="character" w:styleId="ListLabel104">
    <w:name w:val="ListLabel 104"/>
    <w:qFormat/>
    <w:rPr>
      <w:rFonts w:cs="Courier New"/>
    </w:rPr>
  </w:style>
  <w:style w:type="character" w:styleId="ListLabel105">
    <w:name w:val="ListLabel 105"/>
    <w:qFormat/>
    <w:rPr>
      <w:rFonts w:cs="Noto Sans Symbols"/>
    </w:rPr>
  </w:style>
  <w:style w:type="character" w:styleId="ListLabel106">
    <w:name w:val="ListLabel 106"/>
    <w:qFormat/>
    <w:rPr>
      <w:rFonts w:cs="Noto Sans Symbols"/>
    </w:rPr>
  </w:style>
  <w:style w:type="character" w:styleId="ListLabel107">
    <w:name w:val="ListLabel 107"/>
    <w:qFormat/>
    <w:rPr>
      <w:rFonts w:cs="Courier New"/>
    </w:rPr>
  </w:style>
  <w:style w:type="character" w:styleId="ListLabel108">
    <w:name w:val="ListLabel 108"/>
    <w:qFormat/>
    <w:rPr>
      <w:rFonts w:cs="Noto Sans Symbols"/>
    </w:rPr>
  </w:style>
  <w:style w:type="character" w:styleId="ListLabel109">
    <w:name w:val="ListLabel 109"/>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110">
    <w:name w:val="ListLabel 110"/>
    <w:qFormat/>
    <w:rPr>
      <w:rFonts w:eastAsia="Times New Roman" w:cs="Times New Roman"/>
      <w:i w:val="false"/>
      <w:caps w:val="false"/>
      <w:smallCaps w:val="false"/>
      <w:color w:val="1155CC"/>
      <w:position w:val="0"/>
      <w:sz w:val="22"/>
      <w:sz w:val="22"/>
      <w:szCs w:val="22"/>
      <w:shd w:fill="auto" w:val="clear"/>
      <w:vertAlign w:val="baseline"/>
    </w:rPr>
  </w:style>
  <w:style w:type="character" w:styleId="ListLabel111">
    <w:name w:val="ListLabel 111"/>
    <w:qFormat/>
    <w:rPr>
      <w:rFonts w:ascii="Times New Roman" w:hAnsi="Times New Roman"/>
      <w:b w:val="false"/>
      <w:sz w:val="22"/>
    </w:rPr>
  </w:style>
  <w:style w:type="character" w:styleId="ListLabel112">
    <w:name w:val="ListLabel 112"/>
    <w:qFormat/>
    <w:rPr>
      <w:rFonts w:ascii="Times New Roman" w:hAnsi="Times New Roman"/>
      <w:b w:val="false"/>
      <w:sz w:val="22"/>
    </w:rPr>
  </w:style>
  <w:style w:type="character" w:styleId="ListLabel113">
    <w:name w:val="ListLabel 113"/>
    <w:qFormat/>
    <w:rPr>
      <w:rFonts w:ascii="Times New Roman" w:hAnsi="Times New Roman" w:cs="Noto Sans Symbols"/>
      <w:b w:val="false"/>
      <w:sz w:val="22"/>
    </w:rPr>
  </w:style>
  <w:style w:type="character" w:styleId="ListLabel114">
    <w:name w:val="ListLabel 114"/>
    <w:qFormat/>
    <w:rPr>
      <w:rFonts w:cs="Courier New"/>
    </w:rPr>
  </w:style>
  <w:style w:type="character" w:styleId="ListLabel115">
    <w:name w:val="ListLabel 115"/>
    <w:qFormat/>
    <w:rPr>
      <w:rFonts w:cs="Noto Sans Symbols"/>
    </w:rPr>
  </w:style>
  <w:style w:type="character" w:styleId="ListLabel116">
    <w:name w:val="ListLabel 116"/>
    <w:qFormat/>
    <w:rPr>
      <w:rFonts w:cs="Noto Sans Symbols"/>
    </w:rPr>
  </w:style>
  <w:style w:type="character" w:styleId="ListLabel117">
    <w:name w:val="ListLabel 117"/>
    <w:qFormat/>
    <w:rPr>
      <w:rFonts w:cs="Courier New"/>
    </w:rPr>
  </w:style>
  <w:style w:type="character" w:styleId="ListLabel118">
    <w:name w:val="ListLabel 118"/>
    <w:qFormat/>
    <w:rPr>
      <w:rFonts w:cs="Noto Sans Symbols"/>
    </w:rPr>
  </w:style>
  <w:style w:type="character" w:styleId="ListLabel119">
    <w:name w:val="ListLabel 119"/>
    <w:qFormat/>
    <w:rPr>
      <w:rFonts w:cs="Noto Sans Symbols"/>
    </w:rPr>
  </w:style>
  <w:style w:type="character" w:styleId="ListLabel120">
    <w:name w:val="ListLabel 120"/>
    <w:qFormat/>
    <w:rPr>
      <w:rFonts w:cs="Courier New"/>
    </w:rPr>
  </w:style>
  <w:style w:type="character" w:styleId="ListLabel121">
    <w:name w:val="ListLabel 121"/>
    <w:qFormat/>
    <w:rPr>
      <w:rFonts w:cs="Noto Sans Symbols"/>
    </w:rPr>
  </w:style>
  <w:style w:type="character" w:styleId="ListLabel122">
    <w:name w:val="ListLabel 122"/>
    <w:qFormat/>
    <w:rPr>
      <w:rFonts w:ascii="Times New Roman" w:hAnsi="Times New Roman" w:cs="Noto Sans Symbols"/>
      <w:b w:val="false"/>
      <w:sz w:val="22"/>
    </w:rPr>
  </w:style>
  <w:style w:type="character" w:styleId="ListLabel123">
    <w:name w:val="ListLabel 123"/>
    <w:qFormat/>
    <w:rPr>
      <w:rFonts w:cs="Courier New"/>
    </w:rPr>
  </w:style>
  <w:style w:type="character" w:styleId="ListLabel124">
    <w:name w:val="ListLabel 124"/>
    <w:qFormat/>
    <w:rPr>
      <w:rFonts w:cs="Noto Sans Symbols"/>
    </w:rPr>
  </w:style>
  <w:style w:type="character" w:styleId="ListLabel125">
    <w:name w:val="ListLabel 125"/>
    <w:qFormat/>
    <w:rPr>
      <w:rFonts w:cs="Noto Sans Symbols"/>
    </w:rPr>
  </w:style>
  <w:style w:type="character" w:styleId="ListLabel126">
    <w:name w:val="ListLabel 126"/>
    <w:qFormat/>
    <w:rPr>
      <w:rFonts w:cs="Courier New"/>
    </w:rPr>
  </w:style>
  <w:style w:type="character" w:styleId="ListLabel127">
    <w:name w:val="ListLabel 127"/>
    <w:qFormat/>
    <w:rPr>
      <w:rFonts w:cs="Noto Sans Symbols"/>
    </w:rPr>
  </w:style>
  <w:style w:type="character" w:styleId="ListLabel128">
    <w:name w:val="ListLabel 128"/>
    <w:qFormat/>
    <w:rPr>
      <w:rFonts w:cs="Noto Sans Symbols"/>
    </w:rPr>
  </w:style>
  <w:style w:type="character" w:styleId="ListLabel129">
    <w:name w:val="ListLabel 129"/>
    <w:qFormat/>
    <w:rPr>
      <w:rFonts w:cs="Courier New"/>
    </w:rPr>
  </w:style>
  <w:style w:type="character" w:styleId="ListLabel130">
    <w:name w:val="ListLabel 130"/>
    <w:qFormat/>
    <w:rPr>
      <w:rFonts w:cs="Noto Sans Symbols"/>
    </w:rPr>
  </w:style>
  <w:style w:type="character" w:styleId="ListLabel131">
    <w:name w:val="ListLabel 131"/>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132">
    <w:name w:val="ListLabel 132"/>
    <w:qFormat/>
    <w:rPr>
      <w:rFonts w:eastAsia="Times New Roman" w:cs="Times New Roman"/>
      <w:b w:val="false"/>
      <w:i w:val="false"/>
      <w:caps w:val="false"/>
      <w:smallCaps w:val="false"/>
      <w:strike w:val="false"/>
      <w:dstrike w:val="false"/>
      <w:color w:val="1155CC"/>
      <w:position w:val="0"/>
      <w:sz w:val="22"/>
      <w:sz w:val="22"/>
      <w:szCs w:val="22"/>
      <w:u w:val="single"/>
      <w:shd w:fill="auto" w:val="clear"/>
      <w:vertAlign w:val="baseline"/>
    </w:rPr>
  </w:style>
  <w:style w:type="paragraph" w:styleId="Heading">
    <w:name w:val="Heading"/>
    <w:basedOn w:val="Normal"/>
    <w:next w:val="TextBody"/>
    <w:qFormat/>
    <w:pPr>
      <w:keepNext w:val="true"/>
      <w:spacing w:before="240" w:after="120"/>
    </w:pPr>
    <w:rPr>
      <w:rFonts w:ascii="Arial" w:hAnsi="Arial" w:eastAsia="Microsoft YaHei" w:cs="Arial"/>
      <w:sz w:val="28"/>
      <w:szCs w:val="28"/>
    </w:rPr>
  </w:style>
  <w:style w:type="paragraph" w:styleId="TextBody">
    <w:name w:val="Body Text"/>
    <w:basedOn w:val="Normal"/>
    <w:link w:val="af0"/>
    <w:uiPriority w:val="99"/>
    <w:semiHidden/>
    <w:unhideWhenUsed/>
    <w:rsid w:val="00a8483d"/>
    <w:pPr>
      <w:spacing w:before="0" w:after="12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LOnormal" w:default="1">
    <w:name w:val="LO-normal"/>
    <w:qFormat/>
    <w:pPr>
      <w:widowControl/>
      <w:bidi w:val="0"/>
      <w:spacing w:lineRule="auto" w:line="259" w:before="0" w:after="160"/>
      <w:jc w:val="left"/>
    </w:pPr>
    <w:rPr>
      <w:rFonts w:ascii="Calibri" w:hAnsi="Calibri" w:eastAsia="NSimSun" w:cs="Arial"/>
      <w:color w:val="auto"/>
      <w:kern w:val="0"/>
      <w:sz w:val="22"/>
      <w:szCs w:val="22"/>
      <w:lang w:val="ru-RU" w:eastAsia="zh-CN" w:bidi="hi-IN"/>
    </w:rPr>
  </w:style>
  <w:style w:type="paragraph" w:styleId="Title">
    <w:name w:val="Title"/>
    <w:basedOn w:val="LOnormal"/>
    <w:next w:val="LOnormal"/>
    <w:qFormat/>
    <w:pPr>
      <w:keepNext w:val="true"/>
      <w:keepLines/>
      <w:pageBreakBefore w:val="false"/>
      <w:spacing w:lineRule="auto" w:line="240" w:before="480" w:after="120"/>
    </w:pPr>
    <w:rPr>
      <w:b/>
      <w:sz w:val="72"/>
      <w:szCs w:val="72"/>
    </w:rPr>
  </w:style>
  <w:style w:type="paragraph" w:styleId="ListParagraph">
    <w:name w:val="List Paragraph"/>
    <w:basedOn w:val="Normal"/>
    <w:uiPriority w:val="34"/>
    <w:qFormat/>
    <w:rsid w:val="000c05c7"/>
    <w:pPr>
      <w:spacing w:before="0" w:after="160"/>
      <w:ind w:left="720" w:hanging="0"/>
      <w:contextualSpacing/>
    </w:pPr>
    <w:rPr/>
  </w:style>
  <w:style w:type="paragraph" w:styleId="Header">
    <w:name w:val="Header"/>
    <w:basedOn w:val="Normal"/>
    <w:link w:val="a6"/>
    <w:uiPriority w:val="99"/>
    <w:unhideWhenUsed/>
    <w:rsid w:val="001d41df"/>
    <w:pPr>
      <w:tabs>
        <w:tab w:val="clear" w:pos="720"/>
        <w:tab w:val="center" w:pos="4677" w:leader="none"/>
        <w:tab w:val="right" w:pos="9355" w:leader="none"/>
      </w:tabs>
      <w:spacing w:lineRule="auto" w:line="240" w:before="0" w:after="0"/>
    </w:pPr>
    <w:rPr/>
  </w:style>
  <w:style w:type="paragraph" w:styleId="Footer">
    <w:name w:val="Footer"/>
    <w:basedOn w:val="Normal"/>
    <w:link w:val="a8"/>
    <w:uiPriority w:val="99"/>
    <w:unhideWhenUsed/>
    <w:rsid w:val="001d41df"/>
    <w:pPr>
      <w:tabs>
        <w:tab w:val="clear" w:pos="720"/>
        <w:tab w:val="center" w:pos="4677" w:leader="none"/>
        <w:tab w:val="right" w:pos="9355" w:leader="none"/>
      </w:tabs>
      <w:spacing w:lineRule="auto" w:line="240" w:before="0" w:after="0"/>
    </w:pPr>
    <w:rPr/>
  </w:style>
  <w:style w:type="paragraph" w:styleId="BalloonText">
    <w:name w:val="Balloon Text"/>
    <w:basedOn w:val="Normal"/>
    <w:link w:val="ab"/>
    <w:uiPriority w:val="99"/>
    <w:semiHidden/>
    <w:unhideWhenUsed/>
    <w:qFormat/>
    <w:rsid w:val="00f85e78"/>
    <w:pPr>
      <w:spacing w:lineRule="auto" w:line="240" w:before="0" w:after="0"/>
    </w:pPr>
    <w:rPr>
      <w:rFonts w:ascii="Segoe UI" w:hAnsi="Segoe UI" w:cs="Segoe UI"/>
      <w:sz w:val="18"/>
      <w:szCs w:val="18"/>
    </w:rPr>
  </w:style>
  <w:style w:type="paragraph" w:styleId="Contents1">
    <w:name w:val="TOC 1"/>
    <w:basedOn w:val="Normal"/>
    <w:next w:val="Normal"/>
    <w:autoRedefine/>
    <w:uiPriority w:val="39"/>
    <w:unhideWhenUsed/>
    <w:rsid w:val="00c7687d"/>
    <w:pPr>
      <w:tabs>
        <w:tab w:val="clear" w:pos="720"/>
        <w:tab w:val="left" w:pos="567" w:leader="none"/>
        <w:tab w:val="right" w:pos="9345" w:leader="dot"/>
      </w:tabs>
      <w:spacing w:lineRule="auto" w:line="240" w:before="0" w:after="240"/>
      <w:jc w:val="both"/>
    </w:pPr>
    <w:rPr/>
  </w:style>
  <w:style w:type="paragraph" w:styleId="Contents2">
    <w:name w:val="TOC 2"/>
    <w:basedOn w:val="Normal"/>
    <w:next w:val="Normal"/>
    <w:autoRedefine/>
    <w:uiPriority w:val="39"/>
    <w:unhideWhenUsed/>
    <w:rsid w:val="00343858"/>
    <w:pPr>
      <w:spacing w:before="0" w:after="100"/>
      <w:ind w:left="220" w:hanging="0"/>
    </w:pPr>
    <w:rPr/>
  </w:style>
  <w:style w:type="paragraph" w:styleId="Contents3">
    <w:name w:val="TOC 3"/>
    <w:basedOn w:val="Normal"/>
    <w:next w:val="Normal"/>
    <w:autoRedefine/>
    <w:uiPriority w:val="39"/>
    <w:unhideWhenUsed/>
    <w:rsid w:val="00343858"/>
    <w:pPr>
      <w:spacing w:before="0" w:after="100"/>
      <w:ind w:left="440" w:hanging="0"/>
    </w:pPr>
    <w:rPr/>
  </w:style>
  <w:style w:type="paragraph" w:styleId="TextBodyIndent">
    <w:name w:val="Body Text Indent"/>
    <w:basedOn w:val="Normal"/>
    <w:link w:val="ad"/>
    <w:qFormat/>
    <w:rsid w:val="00dc2785"/>
    <w:pPr>
      <w:spacing w:lineRule="auto" w:line="240" w:before="0" w:after="240"/>
      <w:jc w:val="both"/>
    </w:pPr>
    <w:rPr>
      <w:rFonts w:eastAsia="STZhongsong" w:cs="Times New Roman"/>
      <w:szCs w:val="20"/>
      <w:lang w:val="en-GB" w:eastAsia="zh-CN"/>
    </w:rPr>
  </w:style>
  <w:style w:type="paragraph" w:styleId="BodyTextIndent2">
    <w:name w:val="Body Text Indent 2"/>
    <w:basedOn w:val="Normal"/>
    <w:link w:val="23"/>
    <w:qFormat/>
    <w:rsid w:val="00dc2785"/>
    <w:pPr>
      <w:spacing w:lineRule="auto" w:line="240" w:before="0" w:after="240"/>
      <w:jc w:val="both"/>
    </w:pPr>
    <w:rPr>
      <w:rFonts w:eastAsia="STZhongsong" w:cs="Times New Roman"/>
      <w:szCs w:val="20"/>
      <w:lang w:val="en-GB" w:eastAsia="zh-CN"/>
    </w:rPr>
  </w:style>
  <w:style w:type="paragraph" w:styleId="DefinitionNumbering2" w:customStyle="1">
    <w:name w:val="Definition Numbering 2"/>
    <w:basedOn w:val="Normal"/>
    <w:qFormat/>
    <w:rsid w:val="00dc2785"/>
    <w:pPr>
      <w:spacing w:lineRule="auto" w:line="240" w:before="0" w:after="240"/>
      <w:jc w:val="both"/>
      <w:outlineLvl w:val="1"/>
    </w:pPr>
    <w:rPr>
      <w:rFonts w:eastAsia="STZhongsong" w:cs="Times New Roman"/>
      <w:szCs w:val="20"/>
      <w:lang w:val="en-GB" w:eastAsia="zh-CN"/>
    </w:rPr>
  </w:style>
  <w:style w:type="paragraph" w:styleId="DefinitionNumbering3" w:customStyle="1">
    <w:name w:val="Definition Numbering 3"/>
    <w:basedOn w:val="Normal"/>
    <w:qFormat/>
    <w:rsid w:val="00dc2785"/>
    <w:pPr>
      <w:tabs>
        <w:tab w:val="clear" w:pos="720"/>
        <w:tab w:val="left" w:pos="3600" w:leader="none"/>
      </w:tabs>
      <w:spacing w:lineRule="auto" w:line="240" w:before="0" w:after="240"/>
      <w:ind w:left="3600" w:hanging="720"/>
      <w:jc w:val="both"/>
      <w:outlineLvl w:val="2"/>
    </w:pPr>
    <w:rPr>
      <w:rFonts w:eastAsia="STZhongsong" w:cs="Times New Roman"/>
      <w:szCs w:val="20"/>
      <w:lang w:val="en-GB" w:eastAsia="zh-CN"/>
    </w:rPr>
  </w:style>
  <w:style w:type="paragraph" w:styleId="DefinitionNumbering4" w:customStyle="1">
    <w:name w:val="Definition Numbering 4"/>
    <w:basedOn w:val="Normal"/>
    <w:qFormat/>
    <w:rsid w:val="00dc2785"/>
    <w:pPr>
      <w:tabs>
        <w:tab w:val="clear" w:pos="720"/>
        <w:tab w:val="left" w:pos="2880" w:leader="none"/>
      </w:tabs>
      <w:spacing w:lineRule="auto" w:line="240" w:before="0" w:after="240"/>
      <w:ind w:left="2880" w:hanging="1080"/>
      <w:jc w:val="both"/>
      <w:outlineLvl w:val="3"/>
    </w:pPr>
    <w:rPr>
      <w:rFonts w:eastAsia="STZhongsong" w:cs="Times New Roman"/>
      <w:szCs w:val="20"/>
      <w:lang w:val="en-GB" w:eastAsia="zh-CN"/>
    </w:rPr>
  </w:style>
  <w:style w:type="paragraph" w:styleId="DefinitionNumbering5" w:customStyle="1">
    <w:name w:val="Definition Numbering 5"/>
    <w:basedOn w:val="Normal"/>
    <w:qFormat/>
    <w:rsid w:val="00dc2785"/>
    <w:pPr>
      <w:tabs>
        <w:tab w:val="clear" w:pos="720"/>
        <w:tab w:val="left" w:pos="2880" w:leader="none"/>
      </w:tabs>
      <w:spacing w:lineRule="auto" w:line="240" w:before="0" w:after="240"/>
      <w:ind w:left="2880" w:hanging="1080"/>
      <w:jc w:val="both"/>
      <w:outlineLvl w:val="4"/>
    </w:pPr>
    <w:rPr>
      <w:rFonts w:eastAsia="STZhongsong" w:cs="Times New Roman"/>
      <w:szCs w:val="20"/>
      <w:lang w:val="en-GB" w:eastAsia="zh-CN"/>
    </w:rPr>
  </w:style>
  <w:style w:type="paragraph" w:styleId="DefinitionNumbering6" w:customStyle="1">
    <w:name w:val="Definition Numbering 6"/>
    <w:basedOn w:val="Normal"/>
    <w:qFormat/>
    <w:rsid w:val="00dc2785"/>
    <w:pPr>
      <w:tabs>
        <w:tab w:val="clear" w:pos="720"/>
        <w:tab w:val="left" w:pos="2880" w:leader="none"/>
      </w:tabs>
      <w:spacing w:lineRule="auto" w:line="240" w:before="0" w:after="240"/>
      <w:ind w:left="2880" w:hanging="1080"/>
      <w:jc w:val="both"/>
      <w:outlineLvl w:val="5"/>
    </w:pPr>
    <w:rPr>
      <w:rFonts w:eastAsia="STZhongsong" w:cs="Times New Roman"/>
      <w:szCs w:val="20"/>
      <w:lang w:val="en-GB" w:eastAsia="zh-CN"/>
    </w:rPr>
  </w:style>
  <w:style w:type="paragraph" w:styleId="DefinitionNumbering7" w:customStyle="1">
    <w:name w:val="Definition Numbering 7"/>
    <w:basedOn w:val="Normal"/>
    <w:qFormat/>
    <w:rsid w:val="00dc2785"/>
    <w:pPr>
      <w:tabs>
        <w:tab w:val="clear" w:pos="720"/>
        <w:tab w:val="left" w:pos="2880" w:leader="none"/>
      </w:tabs>
      <w:spacing w:lineRule="auto" w:line="240" w:before="0" w:after="240"/>
      <w:ind w:left="2880" w:hanging="1080"/>
      <w:jc w:val="both"/>
      <w:outlineLvl w:val="6"/>
    </w:pPr>
    <w:rPr>
      <w:rFonts w:eastAsia="STZhongsong" w:cs="Times New Roman"/>
      <w:szCs w:val="20"/>
      <w:lang w:val="en-GB" w:eastAsia="zh-CN"/>
    </w:rPr>
  </w:style>
  <w:style w:type="paragraph" w:styleId="RUSHEADING1" w:customStyle="1">
    <w:name w:val="RUS HEADING 1"/>
    <w:basedOn w:val="Normal"/>
    <w:qFormat/>
    <w:rsid w:val="00dc2785"/>
    <w:pPr>
      <w:spacing w:lineRule="auto" w:line="240" w:before="0" w:after="240"/>
      <w:jc w:val="both"/>
      <w:outlineLvl w:val="0"/>
    </w:pPr>
    <w:rPr>
      <w:rFonts w:eastAsia="STZhongsong" w:cs="Times New Roman"/>
      <w:b/>
      <w:sz w:val="20"/>
      <w:lang w:val="en-GB" w:eastAsia="ru-RU"/>
    </w:rPr>
  </w:style>
  <w:style w:type="paragraph" w:styleId="Contents4">
    <w:name w:val="TOC 4"/>
    <w:basedOn w:val="Normal"/>
    <w:next w:val="Normal"/>
    <w:autoRedefine/>
    <w:uiPriority w:val="39"/>
    <w:unhideWhenUsed/>
    <w:rsid w:val="00867255"/>
    <w:pPr>
      <w:spacing w:before="0" w:after="100"/>
      <w:ind w:left="660" w:hanging="0"/>
    </w:pPr>
    <w:rPr/>
  </w:style>
  <w:style w:type="paragraph" w:styleId="Contents5">
    <w:name w:val="TOC 5"/>
    <w:basedOn w:val="Normal"/>
    <w:next w:val="Normal"/>
    <w:autoRedefine/>
    <w:uiPriority w:val="39"/>
    <w:unhideWhenUsed/>
    <w:rsid w:val="00867255"/>
    <w:pPr>
      <w:spacing w:before="0" w:after="100"/>
      <w:ind w:left="880" w:hanging="0"/>
    </w:pPr>
    <w:rPr/>
  </w:style>
  <w:style w:type="paragraph" w:styleId="TOCHeading">
    <w:name w:val="TOC Heading"/>
    <w:basedOn w:val="Heading1"/>
    <w:next w:val="Normal"/>
    <w:uiPriority w:val="39"/>
    <w:unhideWhenUsed/>
    <w:qFormat/>
    <w:rsid w:val="00867255"/>
    <w:pPr>
      <w:keepNext w:val="true"/>
      <w:keepLines/>
      <w:spacing w:before="240" w:after="0"/>
      <w:jc w:val="left"/>
    </w:pPr>
    <w:rPr>
      <w:rFonts w:ascii="Calibri Light" w:hAnsi="Calibri Light" w:eastAsia="" w:cs="" w:asciiTheme="majorHAnsi" w:cstheme="majorBidi" w:eastAsiaTheme="majorEastAsia" w:hAnsiTheme="majorHAnsi"/>
      <w:b w:val="false"/>
      <w:bCs w:val="false"/>
      <w:color w:val="2F5496" w:themeColor="accent1" w:themeShade="bf"/>
      <w:sz w:val="32"/>
      <w:szCs w:val="32"/>
      <w:lang w:eastAsia="ru-RU"/>
    </w:rPr>
  </w:style>
  <w:style w:type="paragraph" w:styleId="Annotationtext">
    <w:name w:val="annotation text"/>
    <w:basedOn w:val="Normal"/>
    <w:link w:val="af3"/>
    <w:uiPriority w:val="99"/>
    <w:unhideWhenUsed/>
    <w:qFormat/>
    <w:rsid w:val="003545f2"/>
    <w:pPr>
      <w:spacing w:lineRule="auto" w:line="240"/>
    </w:pPr>
    <w:rPr>
      <w:sz w:val="20"/>
      <w:szCs w:val="20"/>
    </w:rPr>
  </w:style>
  <w:style w:type="paragraph" w:styleId="Annotationsubject">
    <w:name w:val="annotation subject"/>
    <w:basedOn w:val="Annotationtext"/>
    <w:next w:val="Annotationtext"/>
    <w:link w:val="af5"/>
    <w:uiPriority w:val="99"/>
    <w:semiHidden/>
    <w:unhideWhenUsed/>
    <w:qFormat/>
    <w:rsid w:val="003545f2"/>
    <w:pPr/>
    <w:rPr>
      <w:b/>
      <w:bCs/>
    </w:rPr>
  </w:style>
  <w:style w:type="paragraph" w:styleId="Revision">
    <w:name w:val="Revision"/>
    <w:uiPriority w:val="99"/>
    <w:semiHidden/>
    <w:qFormat/>
    <w:rsid w:val="00d32f22"/>
    <w:pPr>
      <w:widowControl/>
      <w:bidi w:val="0"/>
      <w:spacing w:lineRule="auto" w:line="240" w:before="0" w:after="0"/>
      <w:jc w:val="left"/>
    </w:pPr>
    <w:rPr>
      <w:rFonts w:ascii="Times New Roman" w:hAnsi="Times New Roman" w:eastAsia="NSimSun" w:cs="Arial"/>
      <w:color w:val="auto"/>
      <w:kern w:val="0"/>
      <w:sz w:val="22"/>
      <w:szCs w:val="22"/>
      <w:lang w:val="ru-RU" w:eastAsia="zh-CN" w:bidi="hi-IN"/>
    </w:rPr>
  </w:style>
  <w:style w:type="paragraph" w:styleId="P" w:customStyle="1">
    <w:name w:val="p"/>
    <w:basedOn w:val="Normal"/>
    <w:qFormat/>
    <w:rsid w:val="008931e8"/>
    <w:pPr>
      <w:spacing w:lineRule="auto" w:line="240" w:beforeAutospacing="1" w:afterAutospacing="1"/>
    </w:pPr>
    <w:rPr>
      <w:rFonts w:eastAsia="Times New Roman" w:cs="Times New Roman"/>
      <w:sz w:val="24"/>
      <w:szCs w:val="24"/>
      <w:lang w:eastAsia="ru-RU"/>
    </w:rPr>
  </w:style>
  <w:style w:type="paragraph" w:styleId="Subtitle">
    <w:name w:val="Subtitle"/>
    <w:basedOn w:val="LOnormal"/>
    <w:next w:val="LOnormal"/>
    <w:qFormat/>
    <w:pPr>
      <w:keepNext w:val="true"/>
      <w:keepLines/>
      <w:pageBreakBefore w:val="false"/>
      <w:widowControl/>
      <w:shd w:val="clear" w:fill="auto"/>
      <w:spacing w:lineRule="auto" w:line="259" w:before="360" w:after="80"/>
      <w:ind w:left="0" w:right="0" w:hanging="0"/>
      <w:jc w:val="left"/>
    </w:pPr>
    <w:rPr>
      <w:rFonts w:ascii="Georgia" w:hAnsi="Georgia" w:eastAsia="Georgia" w:cs="Georgia"/>
      <w:b w:val="false"/>
      <w:i/>
      <w:caps w:val="false"/>
      <w:smallCaps w:val="false"/>
      <w:strike w:val="false"/>
      <w:dstrike w:val="false"/>
      <w:color w:val="666666"/>
      <w:position w:val="0"/>
      <w:sz w:val="48"/>
      <w:sz w:val="48"/>
      <w:szCs w:val="48"/>
      <w:u w:val="none"/>
      <w:shd w:fill="auto" w:val="clear"/>
      <w:vertAlign w:val="baseline"/>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TableNormal">
    <w:name w:val="Table Normal"/>
  </w:style>
  <w:style w:type="table" w:default="1" w:styleId="a3">
    <w:name w:val="Normal Table"/>
    <w:uiPriority w:val="99"/>
    <w:semiHidden/>
    <w:unhideWhenUsed/>
    <w:tblPr>
      <w:tblInd w:w="0" w:type="dxa"/>
      <w:tblCellMar>
        <w:top w:w="0" w:type="dxa"/>
        <w:left w:w="108" w:type="dxa"/>
        <w:bottom w:w="0" w:type="dxa"/>
        <w:right w:w="108" w:type="dxa"/>
      </w:tblCellMar>
    </w:tblPr>
  </w:style>
  <w:style w:type="table" w:styleId="a9">
    <w:name w:val="Table Grid"/>
    <w:basedOn w:val="a3"/>
    <w:uiPriority w:val="39"/>
    <w:rsid w:val="000c05c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Сетка таблицы1"/>
    <w:basedOn w:val="a3"/>
    <w:rsid w:val="00dc2785"/>
    <w:pPr>
      <w:spacing w:after="0" w:line="240" w:lineRule="auto"/>
      <w:jc w:val="both"/>
    </w:pPr>
    <w:rPr>
      <w:lang w:eastAsia="ru-RU"/>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4">
    <w:name w:val="Сетка таблицы2"/>
    <w:basedOn w:val="a3"/>
    <w:rsid w:val="000b0ae4"/>
    <w:pPr>
      <w:spacing w:after="0" w:line="240" w:lineRule="auto"/>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a3"/>
    <w:rsid w:val="00b94aaa"/>
    <w:pPr>
      <w:spacing w:after="0" w:line="240" w:lineRule="auto"/>
      <w:jc w:val="both"/>
    </w:pPr>
    <w:rPr>
      <w:lang w:eastAsia="ru-RU"/>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pp.marketmonstr.pro/tariffs" TargetMode="External"/><Relationship Id="rId3" Type="http://schemas.openxmlformats.org/officeDocument/2006/relationships/hyperlink" Target="https://app.marketmonstr.pro/conf_policy.pdf" TargetMode="Externa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qJYEeIVPPhgrNx+AOsl3WsDbDg==">CgMxLjAaHwoBMBIaChgICVIUChJ0YWJsZS5iaW51OXFvdHZrZXUaHwoBMRIaChgICVIUChJ0YWJsZS5lOTI3dWoyYmYxbmMyCGguZ2pkZ3hzMgloLjMwajB6bGwyCWguMWZvYjl0ZTIJaC4zem55c2g3MgloLjJldDkycDAyCGgudHlqY3d0MgloLjNkeTZ2a20yCWguMXQzaDVzZjgAciExbElvZ1VJMlBxYWtkODFyNHQtZnVYa1lKd2VLUkdybGs=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65</TotalTime>
  <Application>XLSX_Editor/6.2.8.2$Windows_x86 LibreOffice_project/</Application>
  <Pages>23</Pages>
  <Words>7952</Words>
  <Characters>57201</Characters>
  <CharactersWithSpaces>64719</CharactersWithSpaces>
  <Paragraphs>287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2024-08-23T14:37:00Z</dcterms:created>
  <dc:creator>Руслан Еникеев</dc:creator>
  <dc:description/>
  <dc:language>en-US</dc:language>
  <cp:lastModifiedBy/>
  <dcterms:modified xsi:type="dcterms:W3CDTF">2024-08-26T22:56:19Z</dcterms:modified>
  <cp:revision>10</cp:revision>
  <dc:subject/>
  <dc:title/>
</cp:coreProperties>
</file>