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oter1.xml" ContentType="application/vnd.openxmlformats-officedocument.wordprocessingml.footer+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ind w:left="0" w:hanging="0"/>
        <w:jc w:val="center"/>
        <w:rPr>
          <w:b/>
          <w:b/>
          <w:sz w:val="24"/>
          <w:szCs w:val="24"/>
        </w:rPr>
      </w:pPr>
      <w:bookmarkStart w:id="0" w:name="_heading=h.gjdgxs"/>
      <w:bookmarkEnd w:id="0"/>
      <w:r>
        <w:rPr>
          <w:b/>
          <w:sz w:val="24"/>
          <w:szCs w:val="24"/>
        </w:rPr>
        <w:t xml:space="preserve">ПУБЛИЧНЫЙ ДОГОВОР </w:t>
      </w:r>
      <w:r>
        <w:rPr>
          <w:rFonts w:eastAsia="Cambria Math" w:cs="Cambria Math" w:ascii="Cambria Math" w:hAnsi="Cambria Math"/>
          <w:b/>
          <w:sz w:val="24"/>
          <w:szCs w:val="24"/>
        </w:rPr>
        <w:t>⎯</w:t>
      </w:r>
      <w:r>
        <w:rPr>
          <w:b/>
          <w:sz w:val="24"/>
          <w:szCs w:val="24"/>
        </w:rPr>
        <w:t xml:space="preserve"> ОФЕРТА</w:t>
      </w:r>
    </w:p>
    <w:p>
      <w:pPr>
        <w:pStyle w:val="Normal"/>
        <w:ind w:left="0" w:hanging="0"/>
        <w:jc w:val="center"/>
        <w:rPr>
          <w:b/>
          <w:b/>
        </w:rPr>
      </w:pPr>
      <w:r>
        <w:rPr>
          <w:b/>
        </w:rPr>
        <w:t>о заключении договора</w:t>
      </w:r>
    </w:p>
    <w:p>
      <w:pPr>
        <w:pStyle w:val="Normal"/>
        <w:ind w:left="0" w:hanging="0"/>
        <w:jc w:val="center"/>
        <w:rPr/>
      </w:pPr>
      <w:r>
        <w:rPr/>
        <w:t>Редакция от «26» августа 2024 г., Российская Федерация, г. Москва</w:t>
      </w:r>
    </w:p>
    <w:p>
      <w:pPr>
        <w:pStyle w:val="Normal"/>
        <w:ind w:left="0" w:hanging="0"/>
        <w:jc w:val="both"/>
        <w:rPr/>
      </w:pPr>
      <w:bookmarkStart w:id="1" w:name="_heading=h.30j0zll"/>
      <w:bookmarkEnd w:id="1"/>
      <w:r>
        <w:rPr/>
        <w:t xml:space="preserve">Настоящий публичный договор является официальным публичным предложением Индивидуального предпринимателя Новиков Андрей Валерьевич (далее по тексту </w:t>
      </w:r>
      <w:r>
        <w:rPr>
          <w:rFonts w:eastAsia="Cambria Math" w:cs="Cambria Math" w:ascii="Cambria Math" w:hAnsi="Cambria Math"/>
        </w:rPr>
        <w:t>⎯</w:t>
      </w:r>
      <w:r>
        <w:rPr/>
        <w:t xml:space="preserve"> «</w:t>
      </w:r>
      <w:r>
        <w:rPr>
          <w:b/>
        </w:rPr>
        <w:t>Агент</w:t>
      </w:r>
      <w:r>
        <w:rPr/>
        <w:t xml:space="preserve">»), с одной стороны, адресованное к неограниченному кругу физических и юридических лиц (далее по тексту </w:t>
      </w:r>
      <w:r>
        <w:rPr>
          <w:rFonts w:eastAsia="Cambria Math" w:cs="Cambria Math" w:ascii="Cambria Math" w:hAnsi="Cambria Math"/>
        </w:rPr>
        <w:t>⎯</w:t>
      </w:r>
      <w:r>
        <w:rPr/>
        <w:t xml:space="preserve"> «</w:t>
      </w:r>
      <w:r>
        <w:rPr>
          <w:b/>
        </w:rPr>
        <w:t>Пользователь</w:t>
      </w:r>
      <w:r>
        <w:rPr/>
        <w:t xml:space="preserve">»), с другой стороны, далее вместе именуемые </w:t>
      </w:r>
      <w:r>
        <w:rPr>
          <w:rFonts w:eastAsia="Cambria Math" w:cs="Cambria Math" w:ascii="Cambria Math" w:hAnsi="Cambria Math"/>
        </w:rPr>
        <w:t>⎯</w:t>
      </w:r>
      <w:r>
        <w:rPr/>
        <w:t xml:space="preserve"> «Стороны», а каждый по отдельности в дальнейшем именуемый </w:t>
      </w:r>
      <w:r>
        <w:rPr>
          <w:rFonts w:eastAsia="Cambria Math" w:cs="Cambria Math" w:ascii="Cambria Math" w:hAnsi="Cambria Math"/>
        </w:rPr>
        <w:t>⎯</w:t>
      </w:r>
      <w:r>
        <w:rPr/>
        <w:t xml:space="preserve"> «Сторона», договорились заключить на одинаковых для всех условиях и в электронном виде договор (далее по тексту </w:t>
      </w:r>
      <w:r>
        <w:rPr>
          <w:rFonts w:eastAsia="Cambria Math" w:cs="Cambria Math" w:ascii="Cambria Math" w:hAnsi="Cambria Math"/>
        </w:rPr>
        <w:t>⎯</w:t>
      </w:r>
      <w:r>
        <w:rPr/>
        <w:t xml:space="preserve"> «</w:t>
      </w:r>
      <w:r>
        <w:rPr>
          <w:b/>
        </w:rPr>
        <w:t>Договор</w:t>
      </w:r>
      <w:r>
        <w:rPr/>
        <w:t>», «</w:t>
      </w:r>
      <w:r>
        <w:rPr>
          <w:b/>
        </w:rPr>
        <w:t>Публичная оферта</w:t>
      </w:r>
      <w:r>
        <w:rPr/>
        <w:t>») на нижеизложенных условиях.</w:t>
      </w:r>
    </w:p>
    <w:p>
      <w:pPr>
        <w:pStyle w:val="Normal"/>
        <w:keepNext w:val="false"/>
        <w:keepLines w:val="false"/>
        <w:pageBreakBefore w:val="false"/>
        <w:widowControl/>
        <w:numPr>
          <w:ilvl w:val="0"/>
          <w:numId w:val="5"/>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bookmarkStart w:id="2" w:name="_heading=h.1fob9te"/>
      <w:bookmarkEnd w:id="2"/>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ТЕРМИНЫ И ОПРЕДЕЛЕНИЯ</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bookmarkStart w:id="3" w:name="_heading=h.3znysh7"/>
      <w:bookmarkEnd w:id="3"/>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Авторизация</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предоставление прав доступа к Платформе после прохождения Пользователем процедуры аутентификации.</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Агент</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Индивидуальный предприниматель «Новиков Андрей Валерьевич» (ОГРНИП 323508100472670; ИНН 713602742755), исполняющий агентское поручение по покупке товаров на Маркетплейсах и (или) услуг третьих лиц – партнеров для Пользователя, от своего имени, но в интересах и за счет Клиента, с использованием функционала Платформы.</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Агентское вознаграждение</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 сумма денежных средств, уплачиваемая Пользователем за совершение Агентом от своего имени, но в интересах и за счет Пользователя юридических и иных действий в соответствии с оформленным Заказом, направленных на покупку товаров на Маркетплейсах. </w:t>
      </w:r>
    </w:p>
    <w:p>
      <w:pPr>
        <w:pStyle w:val="Normal"/>
        <w:keepNext w:val="false"/>
        <w:keepLines w:val="false"/>
        <w:pageBreakBefore w:val="false"/>
        <w:widowControl/>
        <w:numPr>
          <w:ilvl w:val="1"/>
          <w:numId w:val="5"/>
        </w:numPr>
        <w:shd w:val="clear" w:fill="auto"/>
        <w:spacing w:lineRule="auto" w:line="259"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Акцепт</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полное и безоговорочное принятие Пользователем условий Публичной оферты путем совершения одного или нескольких конклюдентных действий (</w:t>
      </w:r>
      <w:r>
        <w:rPr>
          <w:rFonts w:eastAsia="Times New Roman" w:cs="Times New Roman"/>
          <w:b w:val="false"/>
          <w:i w:val="false"/>
          <w:caps w:val="false"/>
          <w:smallCaps w:val="false"/>
          <w:strike w:val="false"/>
          <w:dstrike w:val="false"/>
          <w:color w:val="000000"/>
          <w:position w:val="0"/>
          <w:sz w:val="22"/>
          <w:sz w:val="22"/>
          <w:szCs w:val="22"/>
          <w:u w:val="single"/>
          <w:shd w:fill="auto" w:val="clear"/>
          <w:vertAlign w:val="baseline"/>
        </w:rPr>
        <w:t>если Пользователь – физическое лицо</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p>
    <w:p>
      <w:pPr>
        <w:pStyle w:val="Normal"/>
        <w:keepNext w:val="false"/>
        <w:keepLines w:val="false"/>
        <w:pageBreakBefore w:val="false"/>
        <w:widowControl/>
        <w:numPr>
          <w:ilvl w:val="0"/>
          <w:numId w:val="8"/>
        </w:numPr>
        <w:shd w:val="clear" w:fill="auto"/>
        <w:spacing w:lineRule="auto" w:line="259" w:before="120" w:after="12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активация флажка («чекбокса») в контрольном пункте специальной формы на Платформе: «Я ознакомлен (-на) и согласен (-на) с Публичной офертой и Политикой конфиденциальности, даю свое согласие на обработку моих персональных данных»; </w:t>
      </w:r>
    </w:p>
    <w:p>
      <w:pPr>
        <w:pStyle w:val="Normal"/>
        <w:keepNext w:val="false"/>
        <w:keepLines w:val="false"/>
        <w:pageBreakBefore w:val="false"/>
        <w:widowControl/>
        <w:numPr>
          <w:ilvl w:val="0"/>
          <w:numId w:val="8"/>
        </w:numPr>
        <w:shd w:val="clear" w:fill="auto"/>
        <w:spacing w:lineRule="auto" w:line="259" w:before="120" w:after="12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Регистрация на Платформе;</w:t>
      </w:r>
    </w:p>
    <w:p>
      <w:pPr>
        <w:pStyle w:val="Normal"/>
        <w:keepNext w:val="false"/>
        <w:keepLines w:val="false"/>
        <w:pageBreakBefore w:val="false"/>
        <w:widowControl/>
        <w:numPr>
          <w:ilvl w:val="0"/>
          <w:numId w:val="8"/>
        </w:numPr>
        <w:shd w:val="clear" w:fill="auto"/>
        <w:spacing w:lineRule="auto" w:line="259" w:before="120" w:after="12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Оплата стоимости Тарифного плана. Указанные конклюдентные действия, совершенные Пользователем по отдельности или в совокупности, имеют для сторон юридическую силу его письменного согласия на заключение Договора.</w:t>
      </w:r>
    </w:p>
    <w:p>
      <w:pPr>
        <w:pStyle w:val="Normal"/>
        <w:keepNext w:val="false"/>
        <w:keepLines w:val="false"/>
        <w:pageBreakBefore w:val="false"/>
        <w:widowControl/>
        <w:shd w:val="clear" w:fill="auto"/>
        <w:spacing w:lineRule="auto" w:line="259" w:before="120" w:after="12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single"/>
          <w:shd w:fill="auto" w:val="clear"/>
          <w:vertAlign w:val="baseline"/>
        </w:rPr>
        <w:t>Если Пользователь – юридическое лицо</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Акцепт Публичной оферты осуществляется путем:</w:t>
      </w:r>
    </w:p>
    <w:p>
      <w:pPr>
        <w:pStyle w:val="Normal"/>
        <w:keepNext w:val="false"/>
        <w:keepLines w:val="false"/>
        <w:pageBreakBefore w:val="false"/>
        <w:widowControl/>
        <w:numPr>
          <w:ilvl w:val="0"/>
          <w:numId w:val="7"/>
        </w:numPr>
        <w:shd w:val="clear" w:fill="auto"/>
        <w:spacing w:lineRule="auto" w:line="259" w:before="120" w:after="12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обмена подписанными экземплярами Договора в электронной системе документооборота;</w:t>
      </w:r>
    </w:p>
    <w:p>
      <w:pPr>
        <w:pStyle w:val="Normal"/>
        <w:keepNext w:val="false"/>
        <w:keepLines w:val="false"/>
        <w:pageBreakBefore w:val="false"/>
        <w:widowControl/>
        <w:numPr>
          <w:ilvl w:val="0"/>
          <w:numId w:val="7"/>
        </w:numPr>
        <w:shd w:val="clear" w:fill="auto"/>
        <w:spacing w:lineRule="auto" w:line="259" w:before="120" w:after="12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использования сторонами квалифицированной электронной подписи;</w:t>
      </w:r>
    </w:p>
    <w:p>
      <w:pPr>
        <w:pStyle w:val="Normal"/>
        <w:keepNext w:val="false"/>
        <w:keepLines w:val="false"/>
        <w:pageBreakBefore w:val="false"/>
        <w:widowControl/>
        <w:numPr>
          <w:ilvl w:val="0"/>
          <w:numId w:val="7"/>
        </w:numPr>
        <w:shd w:val="clear" w:fill="auto"/>
        <w:spacing w:lineRule="auto" w:line="259" w:before="120" w:after="12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обмена Сторонами подписанных экземпляров по адресам, определенным по соглашению сторон.</w:t>
      </w:r>
    </w:p>
    <w:p>
      <w:pPr>
        <w:pStyle w:val="Normal"/>
        <w:ind w:left="0" w:hanging="0"/>
        <w:jc w:val="both"/>
        <w:rPr/>
      </w:pPr>
      <w:r>
        <w:rPr/>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Аутентификация</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процедура проверки подлинности авторизационных данных путем сравнения введенного адреса электронной почты и пароля с адресом электронной почты и паролем, сохраненным в системе безопасности Платформы.</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Заказ</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сформированное с помощью функционала Платформы поручение Пользователя для Агента по покупке товаров на Маркетплейсах и (или) услуг третьих лиц – партнеров для Пользователя, содержащее условия его исполнения (правила выкупа) и (или) наименование, объем и количество необходимых к покупке услуг, наименование, описание и артикул товаров, цену (стоимость) покупки товаров и (или) услуг, адрес доставки товаров, сформированную Агентом по результатам обработки информации сумму агентского вознаграждения и расходов Агента, связанных с исполнением агентского поручения, что является неотъемлемой частью Договора.</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Заявка</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сформированное с помощью функционала Платформы поручение Пользователя для Агента содержащее намерение использовать функциональные возможности (сервисы) Платформы в рамках оплаченного Тарифного плана, что является неотъемлемой частью Договора.</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Личный кабинет</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специальный раздел Платформы, позволяющий получить доступ к сервисам Платформы и иной информации об учетной записи, а также непосредственно использовать функциональные возможности Платформы.</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Логин</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уникальная символьная комбинация, в качестве которой может использоваться адрес электронной почты или контактный номер (моб.), необходимая для аутентификации и авторизации Пользователя на Платформе, являющаяся идентификатором Пользователя для входа в Личный кабинет.</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Маркетплейс</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интернет-магазин электронной торговли, обеспечивающий возможность приобретения товаров и услуг для неограниченного круга лиц.</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Пароль</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секретный набор символов, не подлежащих разглашению третьим лицам, определяемых и вводимых в паре с логином Пользователем (или Агентом в автоматическом режиме, в том числе SMS-коды, коды активации и т. д.) на Платформе в момент прохождения процедуры аутентификации и авторизации учетной записи. Агент вправе установить ограничения к содержанию пароля (минимальное количество символов, знаков, формат, кодировка, безопасность).</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Платформа</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совокупность баз данных и программ для ЭВМ, включая обновления к ним и дополнительные функциональные возможности, представленные в объективной форме совокупностью данных и команд, активируемых для получения Пользователем определенного результата, а также порождаемые ими графические, аудиовизуальные и информационные материалы, содержащиеся в информационной системе, доступ к которой обеспечивается посредством сети «Интернет» по постоянному URL адресу: https://app.marketmonstr.pro, включая все уровни указанного домена, как действующие, так и вводимые в эксплуатацию в течении всего срока его действия, а также исходящие от него страницы («лендинги»). Платформа предназначена для функционирования ЭВМ и других компьютерных устройств, позволяет Пользователю использовать набор программных инструментов для торговли на Маркетплейсах, а также направлять агентские поручения в целях покупки товаров и услуг третьих лиц – партнеров для продвижения товаров на Маркетплейсах.</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Пользователь</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(«Клиент») — зарегистрированное физическое лицо (в качестве индивидуального предпринимателя или физическое лицо, выплачивающее налог на профессиональный доход) или юридическое лицо, созданное в соответствии с законодательством Российской Федерации, в лице своего уполномоченного представителя, обладающего достаточным объемом прав и полномочий, совершивший Акцепт и осуществляющий использование Платформы.</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Публичная оферта</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официальное предложение Агента, которое содержит все существенные условия Договора, адресованное к неограниченному кругу физических и юридических лиц, в целях заключения с ними Договора на одинаковых для всех, заранее установленных условиях.</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Регистрация</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совокупность действий Пользователя, с использованием специальной формы интерфейса Платформы, включая предоставление сведений о себе и иной информации, в целях создания учетной записи, формирования Личного кабинета и получения доступа к сервисам Платформы.</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Сервисы</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функциональные возможности, службы, инструменты, доступные Пользователю на Платформе.</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Служба заботы</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служба технической поддержки Платформы, осуществляющая свою деятельность в период с 09:00 по 17:00 в будние дни по UTC +3 (Московское время).</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Тарифный план</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 установленный Агентом размер лицензионного вознаграждения (роялти) за право использования Платформы в зависимости от ключевых параметров прав доступа (пределов, объема, способов, сервисов и сроков использования Платформы), предоставленных Пользователю по его выбору. Разновидности Тарифного плана круглосуточно опубликованы Агентом в свободном доступе на Платформе для неограниченного круга лиц и являются неотъемлемой частью Договора. В условиях Тарифного плана под периодом «месяц» понимается 30 календарных дней, под периодом «год» – 365 дней, «бессрочно» - неограниченный срок действия, но не более 366 дней. Пользователь может ознакомиться с Тарифным планом по следующему адресу: </w:t>
      </w:r>
      <w:hyperlink r:id="rId2">
        <w:r>
          <w:rPr>
            <w:rStyle w:val="ListLabel21"/>
            <w:rFonts w:eastAsia="Times New Roman" w:cs="Times New Roman"/>
            <w:b w:val="false"/>
            <w:i w:val="false"/>
            <w:caps w:val="false"/>
            <w:smallCaps w:val="false"/>
            <w:strike w:val="false"/>
            <w:dstrike w:val="false"/>
            <w:color w:val="0563C1"/>
            <w:position w:val="0"/>
            <w:sz w:val="22"/>
            <w:sz w:val="22"/>
            <w:szCs w:val="22"/>
            <w:highlight w:val="white"/>
            <w:u w:val="single"/>
            <w:vertAlign w:val="baseline"/>
          </w:rPr>
          <w:t>https://app.marketmonstr.pro/tariffs</w:t>
        </w:r>
      </w:hyperlink>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Учётная запись</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хранимая в компьютерной системе уникальная совокупность регистрационных данных, необходимая для аутентификации и авторизации Пользователя на Платформе, содержащая информацию о Пользователе и купленном Тарифном плане, предоставленных и израсходованных правах (пределах) доступа.</w:t>
      </w:r>
    </w:p>
    <w:p>
      <w:pPr>
        <w:pStyle w:val="Normal"/>
        <w:keepNext w:val="false"/>
        <w:keepLines w:val="false"/>
        <w:pageBreakBefore w:val="false"/>
        <w:widowControl/>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также является правообладателем Платформы, предоставляющим право использования ее функциональных возможностей за определенную Договором плату.</w:t>
      </w:r>
    </w:p>
    <w:p>
      <w:pPr>
        <w:pStyle w:val="Normal"/>
        <w:keepNext w:val="false"/>
        <w:keepLines w:val="false"/>
        <w:pageBreakBefore w:val="false"/>
        <w:widowControl/>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Размер Агентского вознаграждения установлен в Тарифных планах и не облагается НДС в связи с применением УСН (ст. 346.11 Налогового кодекса РФ).</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bookmarkStart w:id="4" w:name="_heading=h.2et92p0"/>
      <w:bookmarkEnd w:id="4"/>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Оплата по QR-коду</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оплата при помощи монохромного двухмерного штрихового кода, содержащего зашифрованную платежную информацию с использованием сервиса Системы Быстрых Платежей (далее – СБП) Банка России, позволяющей физическим и юридическим лицам производить оплату товаров и услуг дистанционным способом.</w:t>
      </w:r>
    </w:p>
    <w:p>
      <w:pPr>
        <w:pStyle w:val="Normal"/>
        <w:keepNext w:val="true"/>
        <w:keepLines w:val="false"/>
        <w:pageBreakBefore w:val="false"/>
        <w:widowControl/>
        <w:numPr>
          <w:ilvl w:val="0"/>
          <w:numId w:val="5"/>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ОБЩИЕ ПОЛОЖЕНИЯ</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Порядок заключения Договора (Акцепт) зависит от правового статуса Пользователя. Если Пользователь является физическим лицом, заключение Договора осуществляется в момент принятия посетителем Платформы условий Публичной оферты путем совершения Акцепта (п. 2 ст. 437 Гражданского кодекса РФ, п. 3 ст. 438 Гражданского кодекса РФ), в результате чего, посетитель становится Пользователем, стороной Договора, заключенного с Агентом. Если Пользователь является юридическим лицом, заключение Договора (Акцепт) осуществляется посредством нескольких из перечисленных вариантов (вариант Акцепта настоящего Договора определяется по соглашению Сторон):</w:t>
      </w:r>
    </w:p>
    <w:p>
      <w:pPr>
        <w:pStyle w:val="Normal"/>
        <w:keepNext w:val="false"/>
        <w:keepLines w:val="false"/>
        <w:pageBreakBefore w:val="false"/>
        <w:widowControl/>
        <w:numPr>
          <w:ilvl w:val="0"/>
          <w:numId w:val="6"/>
        </w:numPr>
        <w:shd w:val="clear" w:fill="auto"/>
        <w:spacing w:lineRule="auto" w:line="259" w:before="120" w:after="12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Акцепт Публичной оферты с помощью электронной системы документооборота (далее по тексту </w:t>
      </w:r>
      <w:r>
        <w:rPr>
          <w:rFonts w:eastAsia="Cambria Math" w:cs="Cambria Math" w:ascii="Cambria Math" w:hAnsi="Cambria Math"/>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ЭДО);</w:t>
      </w:r>
    </w:p>
    <w:p>
      <w:pPr>
        <w:pStyle w:val="Normal"/>
        <w:keepNext w:val="false"/>
        <w:keepLines w:val="false"/>
        <w:pageBreakBefore w:val="false"/>
        <w:widowControl/>
        <w:numPr>
          <w:ilvl w:val="0"/>
          <w:numId w:val="6"/>
        </w:numPr>
        <w:shd w:val="clear" w:fill="auto"/>
        <w:spacing w:lineRule="auto" w:line="259" w:before="120" w:after="12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Акцепт Публичной оферты с помощью использования сторонами квалифицированной электронной подписи (КЭП);</w:t>
      </w:r>
    </w:p>
    <w:p>
      <w:pPr>
        <w:pStyle w:val="Normal"/>
        <w:keepNext w:val="false"/>
        <w:keepLines w:val="false"/>
        <w:pageBreakBefore w:val="false"/>
        <w:widowControl/>
        <w:numPr>
          <w:ilvl w:val="0"/>
          <w:numId w:val="6"/>
        </w:numPr>
        <w:shd w:val="clear" w:fill="auto"/>
        <w:spacing w:lineRule="auto" w:line="259" w:before="120" w:after="12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Акцепт Публичной оферты посредством обмена Сторонами подписанных экземпляров по адресам, определенным по соглашению сторон.</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Совершение Акцепта подтверждает, что Пользователь имеет собственное волеизъявление на заключение Договора, предварительно ознакомился с функционалом Платформы и положениями Публичной оферты, полностью и безоговорочно принимает все содержащиеся в ней условия в том виде, в котором они опубликованы на Платформе, без подписания ее письменного экземпляра, понимает правовую природу Договора, его содержание и существенные условия, а также правовые последствия заключения. </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Публичная оферта может быть принята Пользователем исключительно в целом (п. 1 ст. 428 Гражданского кодекса РФ). Если Пользователь не согласен с условиями Публичной оферты в целом либо ее отдельными частями Агент призывает Пользователя не совершать Акцепт и не использовать Платформу, так как указанные правоотношения сторон регулируются положениями Публичной оферты, актуальная редакция которой опубликована Агентом на Платформе в разделе «Публичная оферта» на принципах круглосуточного и свободного доступа к ней для любого лица. </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если Пользователь является лицом с частичной или ограниченной дееспособностью, Агент исходит из того, что Акцепт в его интересах совершен законным представителем, который имеет достаточный объем прав и полномочий действовать от его имени и в его интересах, а также ознакомился, полностью и безоговорочно согласился с условиями заключаемого Договора, изложенными в Публичной оферте.</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если Пользователь использует Платформу в статусе юридического лица, Агент исходит из того, что Акцепт в его интересах совершен уполномоченным представителем, который имеет достаточный объем прав и полномочий действовать от его имени и в его интересах, а также ознакомился, полностью и безоговорочно согласился с условиями заключаемого Договора, изложенными в Публичной оферте.</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Для целей толкования Договора стороны используют установленные в разделе 1 настоящей Публичной Оферты основные термины, если в его тексте прямо не указано иное. В тексте Договора эти термины могут быть использованы в другом падеже, в единственном или множественном числе, с маленькой или большой буквы, либо в виде сокращений.</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Договор может содержать иные термины при толковании которых принимается во внимание буквальное значение содержащихся в нем слов и выражений. Во всех иных случаях толкование терминов осуществляется в соответствии с законодательством Российской Федерации или установленными обычаями делового оборота (ст. 5 Гражданского кодекса РФ).</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Предложение о заключении Договора не может быть отозвано Пользователем самостоятельно и действует до даты его отзыва Агентом при условии фактической доступности и работоспособности Платформы, за исключением случаев, предусмотренных Договором и законодательством Российской Федерации.</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Срок действия Договора исчисляется со дня совершения Акцепта и заканчивается на следующий день после окончания срока действия Тарифного плана, если исчерпание Пользователем предоставленных ему прав (пределов) доступа к Платформе не наступило ранее окончания срока действия Тарифного плана, за исключением случаев, если Тарифный план был оплачен Пользователем на новый срок. Кроме того, срок действия Договора в части предоставления права пользования Платформой не может быть больше срока действия исключительного права Агента на Платформу.</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highlight w:val="white"/>
          <w:u w:val="none"/>
          <w:vertAlign w:val="baseline"/>
        </w:rPr>
        <w:t>Договор может быть изменен Агентом в одностороннем порядке в допустимых действующим законодательством пределах. Уведомление Пользователя о внесенных изменениях в Договор публикуется в Личном кабинете Пользователя. Указанные изменения в условиях Договора вступают в силу с даты их публикации, если иное не оговорено в соответствующей публикации. Пользователь обязан ознакомиться с действующей редакцией Договора при совершении очередного Заказа, либо при очередной авторизации на Сервисе. В случае, если одностороннее изменение Договора в силу закона недопустимо, то такие изменения вступают в силу для Пользователя при выражении им согласия любым способом, свидетельствующим об этом, в том числе, при совершении очередной оплаты Заказа, либо при очередном использовании Платформы.</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если одностороннее изменение Договора в силу закона недопустимо, то такие изменения вступают в силу для Пользователя при выражении им согласия любым способом, свидетельствующим об этом, в том числе, при совершении очередной оплаты Заказа, либо при очередном использовании Платформы.</w:t>
      </w:r>
    </w:p>
    <w:p>
      <w:pPr>
        <w:pStyle w:val="Normal"/>
        <w:keepNext w:val="false"/>
        <w:keepLines w:val="false"/>
        <w:pageBreakBefore w:val="false"/>
        <w:widowControl/>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При этом Пользователь подтверждает, что оформление Заказа на Платформе, очередная оплата Заказа, использование Платформы прямо свидетельствуют о его волеизъявлении на заключение Договора в новой версии.</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highlight w:val="white"/>
          <w:u w:val="none"/>
          <w:vertAlign w:val="baseline"/>
        </w:rPr>
        <w:t>Используя Платформу, Пользователь дает свое согласие на получение сообщений информационного и рекламного характера от Агента. Пользователь вправе отказаться от получения сообщений рекламного характера путем уведомления Агента через Личный кабинет (уведомление осуществляется через Службу заботы) или следуя инструкциям, указанным в полученном сообщении рекламного характера.</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highlight w:val="white"/>
          <w:u w:val="none"/>
          <w:vertAlign w:val="baseline"/>
        </w:rPr>
        <w:t>При использовании Пользователем Платформы Агент не является стороной заключаемых Пользователем Договоров с продавцами на Маркетплейсах. Агент предоставляет возможность ознакомится с материалами, размещенными на Платформе, возможность для оформления Заказа в рамках Платформы, а также иной функционал и услуги, как это определено в настоящей Публичной оферте, и несет ответственность исключительно в пределах Тарифного плана.</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highlight w:val="white"/>
          <w:u w:val="none"/>
          <w:vertAlign w:val="baseline"/>
        </w:rPr>
        <w:t>Агент не является уполномоченной организацией по смыслу Закона РФ от 07.02.1992 г. № 2300-1 «О защите прав потребителей», и не осуществляет рассмотрение и удовлетворение претензий Пользователей – физических лиц в отношении товаров ненадлежащего качества, Заказ которого (которых) оформлен Пользователем – физическим лицом на Платформе.</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highlight w:val="white"/>
          <w:u w:val="none"/>
          <w:vertAlign w:val="baseline"/>
        </w:rPr>
      </w:pPr>
      <w:r>
        <w:rPr>
          <w:rFonts w:eastAsia="Times New Roman" w:cs="Times New Roman"/>
          <w:b w:val="false"/>
          <w:i w:val="false"/>
          <w:caps w:val="false"/>
          <w:smallCaps w:val="false"/>
          <w:strike w:val="false"/>
          <w:dstrike w:val="false"/>
          <w:color w:val="000000"/>
          <w:position w:val="0"/>
          <w:sz w:val="22"/>
          <w:sz w:val="22"/>
          <w:szCs w:val="22"/>
          <w:highlight w:val="white"/>
          <w:u w:val="none"/>
          <w:vertAlign w:val="baseline"/>
        </w:rPr>
        <w:t>Агент не несет ответственность за содержание и/или актуальность информации, предоставляемой продавцом на Маркетплейсе о товаре, включая информацию о стоимости Товара и, сроках приготовления, а также наличии Товара в данный момент.</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highlight w:val="white"/>
          <w:u w:val="none"/>
          <w:vertAlign w:val="baseline"/>
        </w:rPr>
      </w:pPr>
      <w:r>
        <w:rPr>
          <w:rFonts w:eastAsia="Times New Roman" w:cs="Times New Roman"/>
          <w:b w:val="false"/>
          <w:i w:val="false"/>
          <w:caps w:val="false"/>
          <w:smallCaps w:val="false"/>
          <w:strike w:val="false"/>
          <w:dstrike w:val="false"/>
          <w:color w:val="000000"/>
          <w:position w:val="0"/>
          <w:sz w:val="22"/>
          <w:sz w:val="22"/>
          <w:szCs w:val="22"/>
          <w:highlight w:val="white"/>
          <w:u w:val="none"/>
          <w:vertAlign w:val="baseline"/>
        </w:rPr>
        <w:t>Агент не несет ответственность за организацию забора, хранения, сортировки, упаковки, отгрузки и доставки товаров, купленных от своего имени, но в интересах и за счет Пользователя.</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highlight w:val="white"/>
          <w:u w:val="none"/>
          <w:vertAlign w:val="baseline"/>
        </w:rPr>
        <w:t>Пользователь не вправе использовать более одной учетной записи при использовании Платформы в целях получения необоснованной выгоды, неосновательного обогащения, а также в иных целях, свидетельствующих о недобросовестных намерениях пользователя. В случае выявления Агентом обстоятельств, свидетельствующих о нарушении Пользователем указанного в настоящем пункте условия, Агент вправе немедленно расторгнуть настоящий Договор с Пользователем.</w:t>
      </w:r>
    </w:p>
    <w:p>
      <w:pPr>
        <w:pStyle w:val="Normal"/>
        <w:keepNext w:val="false"/>
        <w:keepLines w:val="false"/>
        <w:pageBreakBefore w:val="false"/>
        <w:widowControl/>
        <w:numPr>
          <w:ilvl w:val="0"/>
          <w:numId w:val="5"/>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ПРЕДМЕТ ДОГОВОРА</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рамках настоящего Договора агент оказывает две категории услуг:</w:t>
      </w:r>
    </w:p>
    <w:p>
      <w:pPr>
        <w:pStyle w:val="Normal"/>
        <w:keepNext w:val="false"/>
        <w:keepLines w:val="false"/>
        <w:pageBreakBefore w:val="false"/>
        <w:widowControl/>
        <w:numPr>
          <w:ilvl w:val="0"/>
          <w:numId w:val="2"/>
        </w:numPr>
        <w:shd w:val="clear" w:fill="auto"/>
        <w:spacing w:lineRule="auto" w:line="259" w:before="120" w:after="120"/>
        <w:ind w:left="0" w:right="0" w:hanging="0"/>
        <w:jc w:val="both"/>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услуги Агента по совершению от своего имени, но в интересах и за счет Пользователя юридических и иных действий в соответствии с оформленным Заказом, направленных на покупку товаров на Маркетплейсах (далее по тексту – «Агентские услуги»);</w:t>
      </w:r>
    </w:p>
    <w:p>
      <w:pPr>
        <w:pStyle w:val="Normal"/>
        <w:keepNext w:val="false"/>
        <w:keepLines w:val="false"/>
        <w:pageBreakBefore w:val="false"/>
        <w:widowControl/>
        <w:numPr>
          <w:ilvl w:val="0"/>
          <w:numId w:val="2"/>
        </w:numPr>
        <w:shd w:val="clear" w:fill="auto"/>
        <w:spacing w:lineRule="auto" w:line="259" w:before="120" w:after="120"/>
        <w:ind w:left="0" w:right="0" w:hanging="0"/>
        <w:jc w:val="both"/>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услуги по предоставлению права пользования Платформой (далее по тексту – «Услуги по предоставлению ПО»).</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 рамках оказания Агентских услуг:</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порядке и на условиях, определенных Договором, Агент принимает на себя обязательство от своего имени, но в интересах и за счет Пользователя, совершить юридические и иные действия в соответствии с оформленным Заказом, направленные на покупку товаров на Маркетплейсах, а Клиент обязуется принять от Агента исполненное и уплатить ему агентское вознаграждение (комиссию) за исполнение поручения.</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с помощью функциональных возможностей Платформы, поручает Агенту заключить и исполнить договоры о приобретении товаров, за счет полученных от Клиента денежных средств оплатить эти товары,  в зависимости от содержания оформленного Заказа, необходимые для исполнения поручения.</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Денежные средства, составляющие бюджет выкупа товаров и услуг, необходимых для исполнения агентского поручения, передаются Агенту, действующему от своего имени, но в интересах и за счет Клиента. Указанные денежные средства не являются доходом Агента, а являются денежными средствами Клиента, которые могут быть израсходованы Агентом исключительно в целях исполнения агентского поручения.</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Оформление Заказа с помощью функционала Платформы возможно только для зарегистрированных Клиентов, с действующим Тарифным планом, который включает в себя сервисы, необходимые для оформления Заказа, при условии достаточного остатка ключевых параметров прав доступа к Платформе, а также с положительным внутренним балансом Личного кабинета, в размере, исходя из количества товаров и (или) услуг, подлежащих выкупу Агентом.</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Условия покупки товаров и (или) услуг зависит от выбранных Клиентом параметров (объема), согласованных сторонами в Заказе.</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Срок исполнения поручения 15 (пятнадцать) календарных дней с момента согласования сторонами Заказа, если иной срок не определен в Заказе. Указанный срок приостанавливает свое исчисление в выходные и праздничные дни, во время нахождения товаров в пути при транспортировке, отсутствия ответа от службы поддержки Маркетплейса (при необходимости получить такой ответ), а также на период неисполнения Клиентом своих встречных обязательств перед Агентом.</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Обязательство Агента приступить к исполнению агентского поручения возникает с момента уплаты Клиентом стоимости Заказа и считается исполненными надлежащим образом с момента присвоения Заказу статуса исполненного, о чем Клиент уведомляется посредством функционала Платформы, при условии, что от Клиента не поступило мотивированных претензий в течение 10 (десяти) календарных дней.</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 рамках оказания Услуг по предоставлению ПО:</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порядке и на условиях предусмотренных Договором, Агент предоставляет Пользователю разрешение использовать Платформу в части активированных и неактивированных данных и команд, в рамках ее функциональных возможностей и предоставленных прав (пределов) доступа согласно оплаченного Тарифного плана, на условиях простой (неисключительной) лицензии, а Пользователь обязуется уплатить Агенту лицензионное вознаграждение (роялти) и использовать Платформу в пределах оплаченного Тарифного плана.</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Право использования Платформы предоставляется Пользователю в пределах территории Российской Федерации, без права сублицензирования третьим лицам, в части базовых (активированных) данных и команд </w:t>
      </w:r>
      <w:r>
        <w:rPr>
          <w:rFonts w:eastAsia="Cambria Math" w:cs="Cambria Math" w:ascii="Cambria Math" w:hAnsi="Cambria Math"/>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на безвозмездной основе, в части дополнительных (неактивированных) данных и команд </w:t>
      </w:r>
      <w:r>
        <w:rPr>
          <w:rFonts w:eastAsia="Cambria Math" w:cs="Cambria Math" w:ascii="Cambria Math" w:hAnsi="Cambria Math"/>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на возмездной основе в размере стоимости выбранного Тарифного плана, что позволяет Пользователю использовать дополнительные, расширенные, специальные программные возможности Платформы в соответствии с перечнем данных и команд, указанном на Платформе.</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Способы использования Платформы, предоставляемые Пользователю: право на воспроизведение на компьютерном устройстве или смартфоне, возможность активации функций и изменения настроек в пределах, доступных в Личном кабинете, право на адаптацию, внесение изменений, осуществляемых в пределах функциональных возможностей Платформы в целях получения определенного результата на конкретном устройстве.</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предоставляет Пользователю удаленный доступ к Платформе с помощью сети «Интернет» в течение 24 часов с момента покупки Тарифного плана. Обязательства по предоставлению права использования Платформы в части дополнительных (неактивированных) данных и команд считаются исполненными Агентом и принятыми Пользователем без претензий с момента фактического предоставления доступа к Платформе в пределах оплаченного Тарифного плана, при условии отсутствия мотивированных претензий, заявленных Пользователем в течение 10 (десяти) календарных дней с момента предоставления доступа.</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Пределы использования Платформы ограничены «правом на использование», а доступ к ее сервисам и функциональным возможностям предоставляется Агентом в состоянии «как есть», без гарантийных обязательств или какой-либо обязанности по устранению недостатков и усовершенствования Платформы, а использование Платформы возможно только в тех пределах, которые установила Агент, если иное не предусмотрено специальными льготными условиями.</w:t>
      </w:r>
    </w:p>
    <w:p>
      <w:pPr>
        <w:pStyle w:val="Normal"/>
        <w:keepNext w:val="true"/>
        <w:keepLines w:val="false"/>
        <w:pageBreakBefore w:val="false"/>
        <w:widowControl/>
        <w:numPr>
          <w:ilvl w:val="0"/>
          <w:numId w:val="5"/>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bookmarkStart w:id="5" w:name="_heading=h.tyjcwt"/>
      <w:bookmarkEnd w:id="5"/>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ПРАВА И ОБЯЗАННОСТИ СТОРОН</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 рамках оказания Агентских услуг Пользователь вправе:</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любое время запрашивать информацию о ходе исполнения агентского поручения, не вмешиваясь при этом в оперативно-хозяйственную деятельность Агента и получать ответ на свой запрос в срок 5 (пять) календарных дней.</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Отказаться от Заказа только в случае изменения Агентом в одностороннем порядке его условий, первоначально согласованных сторонами. Клиент не имеет права отказаться от исполнения Договора после непосредственного исполнения Агентом поручения, в противном случае, Клиент обязан возместить Агенту все расходы и понесенные в связи с отказом убытки</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Реализовать иные свои права, предусмотренные Договором и законодательством Российской Федерации.</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 рамках оказания Агентских услуг Пользователь обязан:</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Своевременно оплатить полную стоимость Заказа по предварительной оплате (авансом).</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Принять исполненное Агентом в день уведомления о готовности, но не позднее 3 (трех) календарных дней с момента оповещения, если иное не определено по соглашению сторон.</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Сообщить Агенту о ненадлежащем исполнении поручения в течение 10 (десяти) календарных дней с момента исполнения агентского поручения.</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Обеспечить Агента всей необходимой и достоверной информацией (сведениями, данными) в целях исполнения агентского поручения. Отвечать на запросы Агента о предоставление дополнительной информации, или материалов необходимых для исполнения агентского поручения, в течение 1 (одного) календарного дня после получения запроса.</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Самостоятельно обеспечить для себя программно-техническую возможность получения доступа к сети «Интернет» и Платформе.</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Самостоятельно организовать забор, доставку товаров, приобретенных за его счет и в его интересах Агентом на Маркетплейсах. При согласии Агента и интересе Пользователя Стороны могут заключить отдельное Дополнительное Соглашение к настоящему Договору, детально регулирующие забор и доставку указанных в настоящем пункте товаров.</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Выполнить иные свои обязательства, предусмотренные Договором и законодательством Российской Федерации.</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 рамках оказания Агентских услуг Агент вправе:</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Привлекать третьих лиц без согласования с Клиентом путем заключения субагентского договора с другим лицом. В случае заключения субагентского договора ответственным за действия субагента перед Клиентом остается Агент.</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Самостоятельно производить поиск и выбирать третьих лиц – партнеров для заключения соответствующих договоров на покупку услуг от своего имени, но в интересах и за счет Клиента.</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Отступить от указаний Клиента, если по обстоятельствам дела это необходимо в интересах Клиента и Агент не мог предварительно запросить Клиента либо не получил в течение 1 (одного) календарного дня ответа на свой запрос.</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Получать от Клиента разъяснения по всем вопросам, возникающим в ходе исполнения агентского поручения и любую дополнительную информацию, необходимую для выполнения своих обязательств по Договору.</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Размещать в любых источниках скриншоты (содержание) отзыва Клиента в рекламных целях по продвижению своей деятельности.</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Реализовать иные свои права, предусмотренные Договором и законодательством Российской Федерации.</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 рамках оказания Агентских услуг Агент обязан:</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Исполнить данное ему агентское поручение в соответствии с Заказом на наиболее выгодных для Клиента условиях. По общему правилу, исполнение агентского поручения на условиях, отличающихся от согласованных в Заказе, допускается только с согласия Клиента, полученного посредством направления Агенту электронного сообщения с помощью предусмотренных Договором средств для связи.</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Выполнить иные свои обязательства, предусмотренные Договором и законодательством Российской Федерации.</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рамках оказания Услуг по предоставлению ПО Пользователь вправе:</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Получить доступ к использованию Платформы в установленном Агентом порядке.</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Обращаться к Агентом в целях получения информационной или технической поддержки по вопросам, связанным с использованием Платформы и исполнением своих обязанностей по Договору.</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Пользоваться Платформой исключительно в целях и порядке, предусмотренных Договором и не запрещенных законодательством Российской Федерации.</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Реализовать иные свои права, предусмотренные Договором и законодательством Российской Федерации.</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рамках оказания Услуг по предоставлению ПО Пользователь обязан:</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Уплатить лицензионное вознаграждение (роялти) за предоставление права использования Платформы на условиях полной предоплаты в размере цены выбранного Тарифного плана.</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Самостоятельно обеспечить для себя программно-техническую возможность использования Платформы.</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Использовать Платформу в рамках ее функциональных возможностей и установленных пределов, в соответствии с купленным Тарифным планом.</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Контролировать входящую электронную корреспонденцию по адресу электронной почты, указанному Пользователем при регистрации на Платформе, поддерживать обратную связь с Агентом по вопросам, требующим ответа.</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Не распространять конфиденциальную и охраняемую законодательством Российской Федерации информацию о физических либо юридических лицах, которая стала доступна Пользователю посредством использования Платформы.</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Не выдавать себя за другое лицо, не предоставлять Агенту недостоверные данные и документы о себе либо персональные данные и иную конфиденциальную информацию третьих лиц без их согласия, оформленного в установленном законом порядке.</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Не передавать права доступа к Платформе в пользование третьим лицам любым способом без письменного согласия Агента.</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Не использовать устройства, программы, процедуры, алгоритмы и методы, автоматические устройства или эквивалентные ручные процессы для доступа, приобретения, копирования или отслеживания содержания Платформы, включая, но не ограничиваясь, использованием инструментов фальсификации своего IP-адреса, а также адресов, используемых в других сетевых протоколах, при передаче данных.</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Не нарушать систему безопасности и аутентификации на Платформе, не предпринимать любых иных действий программно-технического характера, которые могут рассматриваться Агентом как очевидно нарушающие нормальную работу и функционирование Платформы.</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Не обходить навигационную структуру Платформы, не обеспечивать себе иным способом несанкционированный доступ к закрытым разделам Платформы, которые правомерно не доступны для Пользователя.</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Не использовать программный (исходный) код Платформы, какой-либо размещенный на ней контент (включая, но не ограничиваясь: текстовые материалы, элементы дизайна, графические изображения, фотографический и аудиовизуальные изображения) без предварительного письменного согласия Агента (в том числе путем воспроизведения, копирования, переработки или распространения в любом виде).</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Не использовать Платформу и ее содержание в иных целях, запрещенных законодательством Российской Федерации, а также не подстрекать к такой незаконной деятельности третьих лиц.</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Выполнить надлежащим образом иные свои обязательства, предусмотренные Договором и законодательством Российской Федерации.</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 рамках оказания Услуг по предоставлению ПО Агент вправе:</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Получить лицензионное вознаграждение (роялти) за предоставление права использования Платформы на условиях полной предоплаты в размере цены выбранного Тарифного плана.</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нарушения условий Договора либо требований законодательства Российской Федерации, в любой момент отказать Пользователю в использовании Платформы и ограничить доступ вплоть до постоянной блокировки его учетной записи, в зависимости от тяжести и повторности допущенных нарушений.</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любое время пересматривать или изменять условия предоставления сервисов, дополнять, изменять, ограничивать, расширять функциональные возможности Платформы и (или) ее сервисов, в том числе условия доступа Пользователя к сервисам или отдельным функциональным возможностям Платформы.</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Временно ограничить доступ к Платформе по техническим, технологическим или иным причинам на срок, необходимый для проведения профилактических работ в программном аппаратном комплексе Платформы или устранения препятствий в ее использовании. Агент будет стремиться проводить такие работы по возможности в ночное время и максимально сокращая время неработоспособности Платформы. Возможна приостановка работы Платформы без какого-либо заблаговременного уведомления Пользователя.</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любое время без предварительного уведомления и без объяснения причин удалить любую информацию и материалы, размещаемые Пользователем, если характер или содержание этой информации нарушает действующее законодательство Российской Федерации, носит оскорбительный характер, нарушает права и законные интересы Агента, Пользователей или иных (третьих) лиц.</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Реализовать иные свои права, предусмотренные Договором и законодательством Российской Федерации.</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 рамках оказания Услуг по предоставлению ПО Агент обязан:</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Предоставить Пользователю право использования Платформы в пределах купленного Тарифного плана.</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Обеспечить надлежащее функционирование Платформы и защиту персональных данных Пользователя.</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Обеспечить информационную и техническую поддержку по вопросам, связанным с использованием Платформы и исполнением своих обязанностей в период с 09:00 по 17:00 в будние дни по UTC +3 (Московское время), если иное не указано на Платформе.</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Выполнить надлежащим образом иные свои обязательства, предусмотренные Договором и законодательством Российской Федерации.</w:t>
      </w:r>
    </w:p>
    <w:p>
      <w:pPr>
        <w:pStyle w:val="Normal"/>
        <w:keepNext w:val="false"/>
        <w:keepLines w:val="false"/>
        <w:pageBreakBefore w:val="false"/>
        <w:widowControl/>
        <w:numPr>
          <w:ilvl w:val="0"/>
          <w:numId w:val="5"/>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РЕГИСТРАЦИЯ НА ПЛАТФОРМЕ</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bookmarkStart w:id="6" w:name="_heading=h.3dy6vkm"/>
      <w:bookmarkEnd w:id="6"/>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целях реализации Пользователем возможности получения доступа и использования Платформы в полном объеме, требуется добровольная регистрация учетной записи. Регистрация осуществляется Пользователем путем заполнения обязательных полей в специальной форме окна регистрации, активации специального флажка «чекбокса» в контрольном пункте и нажатия на кнопку с соответствующей функциональной возможностью.</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Для юридических и физических лиц предусмотрены разные обязательные поля, упомянутые в пункте 5.1 настоящего Договора. Пользователь – физическое лицо обязан не регистрировать свой Личный кабинет от имени юридического лица. От Пользователя – юридического лица регистрирует учетную запись либо руководитель юридического лица, либо иное лицо, надлежащим образом уполномоченное Пользователем – юридическим лицом на регистрацию Личного кабинета на Платформе.</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несет ответственность за полноту и достоверность вводимых регистрационных данных.</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После совершения указанных действий на адрес электронной почты (или контактный номер (моб.), указанный при регистрации учетной записи, направляется специальная ссылка (или SMS-код активации), которые Пользователь должен активировать (ввести) в целях подтверждения регистрации и активации учетной записи. С момента совершения вышеуказанных действий Пользователь считается успешно прошедшим процедуру добровольной регистрации на Платформе.</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имеет право отказать Пользователю в регистрации на Платформе без объяснения причин в случае обнаружения недостоверности данных, предоставленных Пользователем, и (или) при использовании Пользователем данных другого зарегистрированного Пользователя, и (или) в случае бездействия Пользователя по подтверждению регистрации и активации учетной записи.</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Последующий доступ к Личному кабинету предоставляется зарегистрированному Пользователю после его аутентификации и авторизации на Платформе, посредством введения логина и пароля, созданных при регистрации, в контрольном пункте специальной формы. В случае невозможности аутентификации на Платформе Пользователь вправе обратиться к Агенту с целью восстановления доступа к учетной записи. Окончательное решение о восстановлении доступа принимается Агентом исходя из причин невозможности произвести аутентификацию.</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Исключительно Пользователь несет ответственность за безопасность выбранных им логина и пароля, а также самостоятельно обеспечивает их конфиденциальность любыми удобными для него способами, которые, однако, обеспечат надлежащую защиту данной информации и соблюдение достаточных мер предосторожности.</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обязан немедленно уведомить Агента о любом случае неразрешенного Пользователем доступа к Платформе с использованием Личного кабинета и (или) о любом нарушении и (или) подозрении о нарушении конфиденциальности своих средств доступа к Личному кабинету, а также обо всех видах сбоев и недочетах работы Платформы.</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Исключительно Пользователь обязан осуществлять безопасное завершение работы по окончании каждой сессии работы с Личным кабинетом. Агент не отвечает за возможное удаление, уничтожение или изменение данных учетной записи, а также другие последствия любого характера, которые могут произойти из-за нарушения Пользователем разумных мер предосторожности.</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Предполагается, что все действия на Платформе, совершаемые через Личный кабинет Пользователя, считаются выполненными от его имени и в его интересах, за исключением случаев, когда Пользователь уведомил Агента о несанкционированном доступе к Платформе с использованием его Личного кабинета третьими лицами, и (или) о любом нарушении и (или) подозрении о нарушении конфиденциальности своих средств доступа к Личному кабинету, и такая информация подтвердилась.</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Удаление учетной записи Пользователя осуществляется Агентом по обращению Пользователя, а также в случае расторжения Договора и иных установленных Договором случаях, что влечет за собой ограничение или полное прекращения доступа к сервисам Платформы.</w:t>
      </w:r>
    </w:p>
    <w:p>
      <w:pPr>
        <w:pStyle w:val="Normal"/>
        <w:keepNext w:val="false"/>
        <w:keepLines w:val="false"/>
        <w:pageBreakBefore w:val="false"/>
        <w:widowControl/>
        <w:numPr>
          <w:ilvl w:val="0"/>
          <w:numId w:val="5"/>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0"/>
          <w:szCs w:val="20"/>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ИСПОЛЬЗОВАНИЕ ФУНКЦИОНАЛА ПЛАТФОРМЫ</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bookmarkStart w:id="7" w:name="_heading=h.1t3h5sf"/>
      <w:bookmarkEnd w:id="7"/>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может оформить Заявку на использование сервисов Платформы или Заказ для Агента с использованием личного кабинета Платформы. Сервисы Платформы включают в себя специальные программные возможности, перечень которых опубликован на Платформе. При внедрении дополнительных (новых) программных модулей, на их использование распространяются условия Договора.</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В случае оформления Пользователем Заказа для Агента, Агент получает информацию об оформленном Заказе посредством автоматических функций Платформы. </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Оформляя заявку на Платформе, Пользователь соглашается на получение электронных писем, сообщений (SMS) на телефонные номера, указанные в Личном кабинете, и (или) push-уведомлений, которые Платформа может автоматически направлять Пользователю. Пользователь также соглашается на получение звонков с предложением оценить качество работы Платформы на телефонные номера, указанные в Личном кабинете Пользователя.</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Правоотношения сторон и имущественные отношения, связанные с исполнением Агентом оформленных Заказов (на посреднические услуги Агента по исполнению выданного Пользователем поручения), заключением, изменением и исполнением агентского договора в части, неурегулированной настоящим Договором, регулируются агентским договором, заключаемым между Пользователем и Агентом посредством Акцепта Публичной оферты о заключении агентского договора, опубликованной на Платформе.</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не несет ответственности за действия или бездействие третьих лиц при исполнении Заявки или Заказа.</w:t>
      </w:r>
    </w:p>
    <w:p>
      <w:pPr>
        <w:pStyle w:val="Normal"/>
        <w:keepNext w:val="false"/>
        <w:keepLines w:val="false"/>
        <w:pageBreakBefore w:val="false"/>
        <w:widowControl/>
        <w:numPr>
          <w:ilvl w:val="0"/>
          <w:numId w:val="5"/>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ВОЗНАГРАЖДЕНИЕ И ВЗАИМОРАСЧЕТЫ СТОРОН</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Пользователь обязуется уплатить Агенту вознаграждение (роялти) за использование функционала Платформы, в части дополнительных (неактивированных) данных и команд, в безналичном порядке по предварительной оплате (авансом) в размере 100% от цены выбранного Тарифного плана. </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Способы уплаты вознаграждения зависят от правового статуса Пользователя: является ли он юридическим или физическим лицом.</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 физическое лицо уплачивает вознаграждение Агенту с помощью личного кабинета, раздел «Баланс». Оплата осуществляется с помощью QR – кода, формирующегося в Личном кабинете Пользователя на Платформе. Суть механизма уплаты установлена в пункте 1.20. настоящего Договора. При уплате вознаграждения Агентом применяется контрольно-кассовая техника в соответствии с Федерального закона от 22.05.2003 N 54-ФЗ «О применении контрольно-кассовой техники при осуществлении расчетов в Российской Федерации» (далее по тексту – «Онлайн - касса»). По итогам осуществления уплаты установленного в настоящем пункте вознаграждения, Пользователю – физическому лицу выдают чек, который появляется в Личном кабинете Пользователя.</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 юридическое лицо может уплачивать вознаграждение Агенту одним из указанных ниже способов:</w:t>
      </w:r>
    </w:p>
    <w:p>
      <w:pPr>
        <w:pStyle w:val="Normal"/>
        <w:keepNext w:val="false"/>
        <w:keepLines w:val="false"/>
        <w:pageBreakBefore w:val="false"/>
        <w:widowControl/>
        <w:numPr>
          <w:ilvl w:val="0"/>
          <w:numId w:val="3"/>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Оплата осуществляется с помощью личного кабинета, раздел «Баланс». Оплата осуществляется с помощью QR – кода, формирующегося в Личном кабинете Пользователя на Платформе. Суть механизма уплаты установлена в пункте 1.20. настоящего Договора. Уплата в таком случае производится банковской карты, оформленной на расчетный счет Пользователя – юридического лица. После уплаты вознаграждения Агенту в Личном кабинете Пользователя появятся соответствующие документы, подтверждающие уплату.</w:t>
      </w:r>
    </w:p>
    <w:p>
      <w:pPr>
        <w:pStyle w:val="Normal"/>
        <w:keepNext w:val="false"/>
        <w:keepLines w:val="false"/>
        <w:pageBreakBefore w:val="false"/>
        <w:widowControl/>
        <w:numPr>
          <w:ilvl w:val="0"/>
          <w:numId w:val="3"/>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Оплата осуществляется с помощью личного кабинета, раздел «Оформление заказа». Оплата осуществляется с помощью перевода денежных средств с расчетного счета Пользователя – юридического лица на расчетный счет Агента по реквизитам, указанным в окне пополнения раздела «Оформление заказа».</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вправе в одностороннем порядке устанавливать иные способы уплаты лицензионного вознаграждения (роялти) на Платформе, в том числе с помощью банковской рассрочки или кредита в рамках партнерского соглашения с финансовым учреждением. В этом случае общая цена Договора может быть увеличена на сумму процентов (комиссии), установленных банком (иным финансовым учреждением) в рамках предоставленной рассрочки платежа или выданных кредитных средств, если иное не предусмотрено условиями специальной акции Агента, опубликованной на Платформе.</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Условия банковской рассрочки или кредита регулируются исключительно договором, заключенным между Пользователем и партнерским финансовым учреждением Агента. Уплата лицензионного вознаграждения (роялти) с помощью банковской рассрочки или за счет кредитных средств возможна только после одобрения данной финансовой услуги партнерским финансовым учреждением Агента.</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вправе в одностороннем порядке изменять стоимость Тарифного плана размещая актуальную информацию об этом на Платформе. После оплаты Пользователем стоимости выбранного Тарифного плана, новая стоимость для Пользователя, ранее его оплатившего, изменению не подлежит, и он продолжает пользоваться сервисами Платформы в течение всего оплаченного им срока действия Тарифного плана.</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вправе предусмотреть для Пользователя льготные условия предоставления доступа к Платформе, которые могут быть представлены: специальной акцией (скидки, распродажа), реферальной программой (промокодом или ссылкой), иными индивидуальными условиями на усмотрение Агента. Указанные предложения ограничены сроком их действия, о чем Агент информирует Пользователя посредством Платформы или иных средств связи.</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Обязательство Пользователя по уплате Агенту лицензионного вознаграждения (роялти) за использование функционала Платформы считается исполненным в момент зачисления денежных средств на расчетный счет Агента.</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не контролирует аппаратно-программный комплекс системы быстрых платежей Банка России и не несет ответственности за ошибки в части обработки платежа (отказ в принятии оплаты, отсутствие зачисления, двойное удержание денежных средств и др.), однако содействует Пользователю в рамках доступных ему возможностей в целях разрешения возникших спорных ситуации.</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при совершении платежа обязан использовать банковскую карту, оформленную на себя лично, в случае если Пользователь – физическое лицо, либо банковскую карту, привязанную к расчётному счету юридического лица, если Пользователь - юридическое лицо. Если оплату в интересах Пользователя совершает иное лицо, в назначении платежа должно быть указано ФИО (наименование) лица, в интересах которого осуществляется платеж, а также основание, по которому это лицо осуществило платеж. Агент вправе затребовать документ, подтверждающий полномочия такого лица на осуществление платежа. В случае невыполнения указанного требования Агент вправе запросить от Пользователя квитанцию, платежное поручение или иной платежный документ, в целях подтверждения факта совершения оплаты.</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окончания срока действия Тарифного плана или исчерпания Пользователем предоставленных ему прав (пределов) доступа к Платформе, отсутствия оплаты стоимости Тарифного плана на новый срок, доступ к Платформе в части дополнительных (неактивированных) данных и команд автоматически прекращается (ограничивается) до момента оплаты Тарифного плана на новый срок.</w:t>
      </w:r>
    </w:p>
    <w:p>
      <w:pPr>
        <w:pStyle w:val="Normal"/>
        <w:keepNext w:val="false"/>
        <w:keepLines w:val="false"/>
        <w:pageBreakBefore w:val="false"/>
        <w:widowControl/>
        <w:numPr>
          <w:ilvl w:val="0"/>
          <w:numId w:val="5"/>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УСЛОВИЯ ВОЗВРАТА</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Внесение лицензионного вознаграждения (роялти) в пользу Агента осуществляется Пользователем за право использования функциональных возможностей Платформы в части дополнительных (неактивированных) данных и команд. Прекращение использования Платформы не является основанием для возврата Пользователю денежных средств, уплаченных в качестве вознаграждения, как использованной его части, так и не использованной, в силу ч. 4 ст. 453 Гражданского кодекса РФ, которая применяется к данным правоотношениям на основании ч. 2 ст. 1233 Гражданского кодекса РФ.</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вправе получить возврат денежных средств, уплаченных в качестве вознаграждения за предоставление права использования функциональных возможностей Платформы, в случае ненадлежащего исполнения Агента своих обязательств по Договору и (или) до момента предоставления ему доступа к Платформе в части дополнительных (неактивированных) данных и команд.</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остальных случаях Пользователь не имеет права требовать от Агента возврата того, что было исполнено ею в соответствии с Договором. В случае надлежащего предоставления Пользователю доступа к функциональным возможностям Платформы, возврат денежных средств, уплаченных в качестве лицензионного вознаграждения (роялти), не производится. В исключительных (индивидуальных) случаях возврат денежных средств может быть произведен по уважительным причинам на усмотрение Агента.</w:t>
      </w:r>
    </w:p>
    <w:p>
      <w:pPr>
        <w:pStyle w:val="Normal"/>
        <w:keepNext w:val="false"/>
        <w:keepLines w:val="false"/>
        <w:pageBreakBefore w:val="false"/>
        <w:widowControl/>
        <w:numPr>
          <w:ilvl w:val="0"/>
          <w:numId w:val="5"/>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РАЗРЕШЕНИЕ СПОРОВ</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Стороны будут стремиться разрешать все свои разногласия, претензии и требования друг к другу путем переговоров. Пользователь перед обращением в суд, государственный орган, организацию по защите прав потребителей или перед совершением публикаций в СМИ или социальных сетях вправе направить Агенту претензию (которая может быть направлена и посредством функционала Платформы), которую Агент обязан рассмотреть и удовлетворить или мотивированно отказать в удовлетворении в течение 30 календарных дней с даты получения.</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Любой спор, разногласие или претензия, связанные с настоящим Договором или вытекающей из него, разрешаются судом в соответствии с законодательством.</w:t>
      </w:r>
    </w:p>
    <w:p>
      <w:pPr>
        <w:pStyle w:val="Normal"/>
        <w:keepNext w:val="false"/>
        <w:keepLines w:val="false"/>
        <w:pageBreakBefore w:val="false"/>
        <w:widowControl/>
        <w:numPr>
          <w:ilvl w:val="0"/>
          <w:numId w:val="5"/>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ОТВЕТСТВЕННОСТЬ СТОРОН</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Стороны несут гражданско-правовую ответственность за неисполнение или ненадлежащее исполнение принятых на себя обязательств по Договору, а также иные виды ответственности в соответствии с применимым законодательством, в зависимости от вида и степени допущенного нарушения, иного действия (бездействия).</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не несет ответственности за несоответствие Платформы ожиданиям Пользователя, за его субъективную (отрицательную) оценку ее возможностей и полученные от ее использования результаты, если они не оправдали его ожиданий. Указанные обстоятельства ни при каких условиях не могут являться основанием считать предоставление доступа и права использования Платформы ненадлежащим.</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не несет ответственности за несовместимость пользовательского устройства с Платформой и за невозможность ее использования в связи с этим. Агент не принимает на себя обязательства по обеспечению Пользователя программно-техническими возможностями для использования Платформы. В случае если устройство Пользователя не позволяет ему использовать Платформу в полной мере или частично, Агент не несет каких-либо обязательств по возмещению (возврату) Пользователю стоимости Тарифного плана.</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не гарантирует круглосуточную и бесперебойную доступность Платформы.</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многократного или грубого нарушения условий Договора и (или) требований законодательства Агент оставляет за собой право заблокировать, ограничить, приостановить или полностью прекратить предоставление Пользователю доступа к Платформе, без компенсации Пользователю каких-либо убытков.</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привлечения Агента к ответственности или наложения на нее взыскания в связи с допущенными Пользователем нарушениями прав и (или) интересов третьих лиц, а равно установленных законодательством Российской Федерации запретов или ограничений, Пользователь обязан в полном объеме возместить убытки Агента.</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осведомлен о негативном отношении Маркетплейсов к «самовыкупам» и искусственному повышению рейтинга. Агент не несет перед Пользователем ответственности за штрафы и иные удержания, возложенные на Пользователя со стороны Маркетплейса в связи с любыми операциями по искусственному повышению рейтинга, а также за блокировку карточек или Личного кабинета Пользователя.</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Агент не несет ответственности за риск наступления неблагоприятных последствий в результате: </w:t>
      </w:r>
    </w:p>
    <w:p>
      <w:pPr>
        <w:pStyle w:val="Normal"/>
        <w:keepNext w:val="false"/>
        <w:keepLines w:val="false"/>
        <w:pageBreakBefore w:val="false"/>
        <w:widowControl/>
        <w:numPr>
          <w:ilvl w:val="0"/>
          <w:numId w:val="1"/>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недостоверности информации, предоставленной Пользователями, в том числе сведений, составляющих данные Пользователей; </w:t>
      </w:r>
    </w:p>
    <w:p>
      <w:pPr>
        <w:pStyle w:val="Normal"/>
        <w:keepNext w:val="false"/>
        <w:keepLines w:val="false"/>
        <w:pageBreakBefore w:val="false"/>
        <w:widowControl/>
        <w:numPr>
          <w:ilvl w:val="0"/>
          <w:numId w:val="1"/>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неправомерных действий третьих лиц, направленных на нарушение информационной безопасности или нормального функционирования Платформы; </w:t>
      </w:r>
    </w:p>
    <w:p>
      <w:pPr>
        <w:pStyle w:val="Normal"/>
        <w:keepNext w:val="false"/>
        <w:keepLines w:val="false"/>
        <w:pageBreakBefore w:val="false"/>
        <w:widowControl/>
        <w:numPr>
          <w:ilvl w:val="0"/>
          <w:numId w:val="1"/>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сбоев в работе Платформы, вызванных ошибками в коде, компьютерными вирусами и иными посторонними фрагментами кода в программном обеспечении Платформы;</w:t>
      </w:r>
    </w:p>
    <w:p>
      <w:pPr>
        <w:pStyle w:val="Normal"/>
        <w:keepNext w:val="false"/>
        <w:keepLines w:val="false"/>
        <w:pageBreakBefore w:val="false"/>
        <w:widowControl/>
        <w:numPr>
          <w:ilvl w:val="0"/>
          <w:numId w:val="1"/>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отсутствия (невозможности установления, прекращения и пр.) интернет-соединений между сервером Пользователя и сервером, на котором расположена Платформа; </w:t>
      </w:r>
    </w:p>
    <w:p>
      <w:pPr>
        <w:pStyle w:val="Normal"/>
        <w:keepNext w:val="false"/>
        <w:keepLines w:val="false"/>
        <w:pageBreakBefore w:val="false"/>
        <w:widowControl/>
        <w:numPr>
          <w:ilvl w:val="0"/>
          <w:numId w:val="1"/>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проведения государственными и муниципальными органами либо их должностными лицами, а также иными уполномоченными организациями мероприятий, проверок или иных действий в рамках их полномочий, предусмотренных действующим законодательством; </w:t>
      </w:r>
    </w:p>
    <w:p>
      <w:pPr>
        <w:pStyle w:val="Normal"/>
        <w:keepNext w:val="false"/>
        <w:keepLines w:val="false"/>
        <w:pageBreakBefore w:val="false"/>
        <w:widowControl/>
        <w:numPr>
          <w:ilvl w:val="0"/>
          <w:numId w:val="1"/>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установления государственного регулирования (или регулирования иными организациями) хозяйственной деятельности коммерческих организаций в сети Интернет и (или) установления указанными субъектами разовых ограничений, затрудняющих или делающих невозможным исполнение Договора или его части, в том числе использование Платформы; </w:t>
      </w:r>
    </w:p>
    <w:p>
      <w:pPr>
        <w:pStyle w:val="Normal"/>
        <w:keepNext w:val="false"/>
        <w:keepLines w:val="false"/>
        <w:pageBreakBefore w:val="false"/>
        <w:widowControl/>
        <w:numPr>
          <w:ilvl w:val="0"/>
          <w:numId w:val="1"/>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ошибочного понимания или непонимания Пользователем информации о порядке оформления и оплаты заявок, использовании функциональных возможностей Платформы; </w:t>
      </w:r>
    </w:p>
    <w:p>
      <w:pPr>
        <w:pStyle w:val="Normal"/>
        <w:keepNext w:val="false"/>
        <w:keepLines w:val="false"/>
        <w:pageBreakBefore w:val="false"/>
        <w:widowControl/>
        <w:numPr>
          <w:ilvl w:val="0"/>
          <w:numId w:val="1"/>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действий Агента и Пользователя по исполнению заключенного между ними с использованием программных средств Платформы гражданско-правового договора.</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При любых обстоятельствах ответственность Агент ограничен суммой в размере 1 000,00 (одна тысяча) рублей или эквивалентом в иностранной валюте и возлагается на нее исключительно при наличии в его действиях вины.</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подтверждает и соглашается с тем, что Агент не является ответственной за надлежащее исполнение агентского поручения в рамках исполнения Заказа, не отвечает за исполнение Агентом взятых на себя по агентскому договору обязательств и не несет ответственности за содержание и (или) актуальность информации, предоставляемой Агентом и третьими лицами.</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нарушения Пользователем или третьими лицами исключительного права на принадлежащие Агенту результаты интеллектуальной деятельности, наряду с использованием других применимых способов защиты и мер ответственности, установленных Договором и Гражданским кодексом РФ (ст. ст. 1250, 1252 и 1253 Гражданского кодекса РФ), Агент вправе в соответствии с п. 3 ст. 1252 Гражданского кодекса РФ требовать по своему выбору от них вместо возмещения убытков в полном объеме выплаты компенсации в размере от 10 000,00 руб. до 5 000 000,00 руб. за каждый факт и неправомерно используемый объект авторского права.</w:t>
      </w:r>
    </w:p>
    <w:p>
      <w:pPr>
        <w:pStyle w:val="Normal"/>
        <w:keepNext w:val="false"/>
        <w:keepLines w:val="false"/>
        <w:pageBreakBefore w:val="false"/>
        <w:widowControl/>
        <w:numPr>
          <w:ilvl w:val="0"/>
          <w:numId w:val="5"/>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ФОРС - МАЖОР</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Стороны освобождаются от ответственности за полное или частичное неисполнение обязательств, взятых на себя по Договору в случае, если такое нарушение явилось следствием действия непреодолимой силы, а именно: пожар, стихийные бедствия, забастовка, война, массовые беспорядки, крупные аварии, техногенные катастрофы, ухудшение эпидемиологической ситуации (пандемия), запретительные действия органов государственной власти, вступление в действие законодательных актов и распоряжений государственных органов, прямо или косвенно запрещающих указанные в Договоре виды деятельности и (или) препятствующих осуществлению сторонами своих обязательств по Договору, международные санкций или других независящих от сторон обстоятельств, возникших после заключения Договора.</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Сторона, которая не может выполнить свои обязательства по Договору в связи с действием непреодолимой силы, обязана своевременно, но не позднее 72 часов после наступления указанных обстоятельств, известить об этом другую сторону, с представлением подтверждающих указанные обстоятельства документов. Если действие форс-мажора длится более 30 (тридцати) календарных дней, любая сторона может инициировать расторжение Договора.</w:t>
      </w:r>
    </w:p>
    <w:p>
      <w:pPr>
        <w:pStyle w:val="Normal"/>
        <w:keepNext w:val="false"/>
        <w:keepLines w:val="false"/>
        <w:pageBreakBefore w:val="false"/>
        <w:widowControl/>
        <w:numPr>
          <w:ilvl w:val="0"/>
          <w:numId w:val="5"/>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ИНТЕЛЛЕКТУАЛЬНАЯ СОБСТВЕННОСТЬ</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Агенту принадлежат исключительные права на Платформу, в том числе исключительные права на любые компоненты, представляющие собой охраняемые результаты интеллектуальной деятельности, включая программный (исходный) код и иные составляющие программы для ЭВМ, базы данных, произведения дизайна, тексты, а также средства индивидуализации (фирменное наименование, товарные знаки, знаки обслуживания, коммерческие обозначения), за исключением результатов интеллектуальной деятельности и средств индивидуализации Пользователей, информация о которых представлена на Платформе.</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Использование Платформы не предусматривает передачу прав на Платформу или ее компоненты. Пользователю предоставляется ограниченное право на использование в соответствии с условиями Тарифного плана. Такое право может быть прекращено в любое время в соответствии с условиями Договора.</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получения в письменной форме заявления лица о нарушении его интеллектуальных прав с указанием страницы Платформы, на которой размещен такой материал, Агент своевременно принимает необходимые и достаточные меры для прекращения нарушения интеллектуальных прав. Такие меры заключаются в установлении правообладателя на основании предоставленных им доказательств, установлении обстоятельств возможных нарушений интеллектуальных прав и определении способов прекращения нарушения. Прекращение нарушения осуществляется, как правило, путем удаления спорного материала с Платформы, прекращения доступа к нему либо путем урегулирования отношений с правообладателем – получения разрешения на использование спорного контента.</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предоставления Пользователем Агента каких-либо текстовых, графических, фото-, аудио-, видеоматериалов (в том числе с целью фиксации качества сервисов, оставления отзывов о работе Платформы), Агента вправе использовать такие материалы в течение всего срока действия исключительного права без выплаты вознаграждения путем воспроизведения, распространения, доведения до всеобщего сведения. Пользователь гарантирует, что предоставленные таких материалов не нарушает прав третьих лиц, материалы могут быть использованы без указания имен их авторов и обнародованы Агента.</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дает согласие Агенту на публичное упоминание его как пользователя Платформы (включая размещение фирменного наименования и логотипа) на сайте Агента, в рекламных и информационных материалах.</w:t>
      </w:r>
    </w:p>
    <w:p>
      <w:pPr>
        <w:pStyle w:val="Normal"/>
        <w:keepNext w:val="false"/>
        <w:keepLines w:val="false"/>
        <w:pageBreakBefore w:val="false"/>
        <w:widowControl/>
        <w:numPr>
          <w:ilvl w:val="0"/>
          <w:numId w:val="5"/>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ГАРАНТИИ И ЗАВЕРЕНИЯ</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Принимая условия Публичной оферты, Пользователь подтверждает и гарантирует, что: </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Использование Платформы будет осуществляться Пользователем исключительно для целей, разрешенных Договором, и с соблюдением его положений, а равно требований применимого права и общепринятой практики.</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не будет совершать каких-либо действий, которые препятствуют нормальному функционированию Платформы или работе соответствующего оборудования, сетей или сопутствующего программного обеспечения, с помощью которых предоставляется доступ к Платформе.</w:t>
      </w:r>
    </w:p>
    <w:p>
      <w:pPr>
        <w:pStyle w:val="Normal"/>
        <w:keepNext w:val="false"/>
        <w:keepLines w:val="false"/>
        <w:pageBreakBefore w:val="false"/>
        <w:widowControl/>
        <w:numPr>
          <w:ilvl w:val="2"/>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не будет указывать данные третьих лиц при регистрации и оформлении заявки без получения их согласия.</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При заключении Договора, исполнении своих обязательств и после его прекращения Пользователь, его аффилированные лица, работники, агенты, посредники и иные третьи лица, находящиеся под их контролем или определяющие влияние на указанных лиц, обязуются принять все разумные меры для обеспечения соблюдения указанными лицами применимого антикоррупционного законодательства.</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и лица, указанные выше, не предлагают выплатить и не разрешают выплату каких-либо денежных средств или ценностей, прямо или косвенно, любым лицам (включая, но не ограничиваясь, работников, членов семей работников, иных аффилированных лиц), для оказания влияния на действия или решения этих лиц с целью получить какие-либо преимущества (включая, но не ограничиваясь получение конфиденциальной информации, коммерческой тайны, иной внутренней информации, любых скидок (надбавок)) или с иными неправомерными целями, а также в целях, ставящих под сомнение деловую репутацию Пользователя, Агента и (или) их сотрудников.</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и лица, указанные выше, не осуществляют действия, квалифицируемые действующим законодательством как дача / получение взятки, посредничество во взяточничестве, коммерческий подкуп, а также действия, нарушающие требования применимого законодательства о противодействии коррупции, противодействии легализации (отмыванию) доходов, полученных преступным путем.</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установления факта совершения Пользователем и (или) его сотрудниками вышеуказанных действий, нарушающих требования применимого антикоррупционного законодательства, Договор может быть расторгнут в одностороннем (внесудебном) порядке путем направления такому Пользователю уведомления. Договор будет считаться расторгнутым с момента получения такого уведомления.</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признает, что Агент с целью соблюдения требований применимого антикоррупционного законодательства и реализации принципа «должной осмотрительности» вправе запрашивать у Пользователя информацию об операциях Пользователя, относящимся к деловым отношениям с Агентом, в частности, о заключенных посредством Платформы договорах и их исполнении.</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признает, что Агент с целью соблюдения требований применимого антикоррупционного законодательства и реализации принципа «должной осмотрительности» вправе запрашивать у Пользователя информацию об операциях Пользователя, относящимся к деловым отношениям с Агентом, в частности, о заключенных посредством Платформы договорах и их исполнении.</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Предоставленные Пользователем гарантии имеют значение заверений об обстоятельствах, на которые полагается Агент при заключении Договора (ст. 431.2 Гражданского кодекса РФ). В случае нарушения Пользователем предоставленных гарантий Агент имеет право отказаться от предоставления Пользователю права использования Платформы и потребовать возмещения убытков, причиненных недостоверностью представленных гарантий.</w:t>
      </w:r>
    </w:p>
    <w:p>
      <w:pPr>
        <w:pStyle w:val="Normal"/>
        <w:keepNext w:val="false"/>
        <w:keepLines w:val="false"/>
        <w:pageBreakBefore w:val="false"/>
        <w:widowControl/>
        <w:numPr>
          <w:ilvl w:val="0"/>
          <w:numId w:val="5"/>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ОБМЕН ЮРИДИЧЕСКИ ЗНАЧИМЫМИ СООБЩЕНИЯМИ</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Обмен юридически значимыми сообщениями, связанными с возникновением, изменением или прекращением обязательств, основанных на Договоре, может осуществляться сторонами с помощью Личного кабинета Платформы, электронной почты, заказного почтового отправления или курьерской доставки, с использованием исключительно тех реквизитов, которые указаны Агентом в Договоре и переданы Пользователем при прохождении процедуры регистрации и совершения Акцепта.</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Документы, отправленные сторонами друг другу с помощью Личного кабинета Платформы и электронной почты признаются электронными документами, подписанными простой электронной подписью, равнозначными документу на бумажном носителе, подписанном Сторонами и имеют юридическую силу. Ключом простой электронной подписи выступает пароль, а ключом проверки простой электронной подписи выступает логин к указанным средствами связи.</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Отправка электронных документов предполагает их предварительное документирование на бумажном носителе со всеми обязательным реквизитами, переведенного в электронную форму с помощью средств сканирования. Набранный текст (тело) электронного сообщения также признается сторонами электронным документом.</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Днем получения адресатом документов и иных юридически значимых сообщений является день их отправки (электронный документооборот), день поступления отправления к месту выдачи (письменный документооборот).</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Стороны обязуются сохранять конфиденциальность доступа к указанным средствам связи и незамедлительно уведомлять друг друга обо всех случаях его компрометации, а также о невозможности открытия или просмотра отправлений. В отсутствие такого уведомления, направленные документы и юридически значимые сообщения, признаются надлежащими.</w:t>
      </w:r>
    </w:p>
    <w:p>
      <w:pPr>
        <w:pStyle w:val="Normal"/>
        <w:keepNext w:val="false"/>
        <w:keepLines w:val="false"/>
        <w:pageBreakBefore w:val="false"/>
        <w:widowControl/>
        <w:numPr>
          <w:ilvl w:val="0"/>
          <w:numId w:val="5"/>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ПАРТНЕРСКАЯ ПРОГРАММА</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Участником партнерской программы может быть зарегистрированный Пользователь (Партнер), который хотя бы единоразово купил Тарифный план по цене от 5000,00 руб. Для каждого зарегистрированного Пользователя в Личном кабинете с помощью функционала Платформы может быть сформирована специальная (реферальная) ссылка (в т. ч. в виде QR-кода или промокода). </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Если по реферальной ссылке Пользователя (Партнера) на Платформе зарегистрировался новый Пользователь (Реферал) и произвел покупку Тарифного плана по цене от 5000,00 руб. в течение 365 дней, такой Реферал закрепляется за Пользователем (Партнером), который получает партнерское вознаграждение в размере, соответствующем 1 (первому) уровню партнерского вознаграждения. </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Если по реферальной ссылке Реферала на Платформе зарегистрировался новый Пользователь (Реферал) и произвел покупку Тарифного плана по цене от 5000,00 руб. в течение 365 дней, такой Реферал закрепляется за первичным Рефералом, который получает партнерское вознаграждение в размере, соответствующем 2 (второму) уровню партнерского вознаграждения. </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Партнерская программа ограничена 2 (двумя) уровнями партнерского вознаграждения: 1-й уровень – 5% от цены покупок сервисов на Платформе; 2-й уровень – 2% от цены покупок сервисов на Платформе. </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Партнерское вознаграждение начисляется на внутренний баланс Пользователя в Личном кабинете Платформы в течение 14 (четырнадцати) календарных дней при условии, что Реферал не затребовал возврат средств за Тарифный план. Средства, начисленные на внутренний баланс Пользователя, могут быть выведены (переведены) Пользователем на расчетный счет при условии, что сумма начисленного партнерского вознаграждения составляет не менее 5000,00 руб. При запросе вывода (перевода) денежных средств Пользователем – физическим лицом, Агент вправе запросить от Пользователя – физического лица подтверждение статуса индивидуального предпринимателя или лица, применяющего налог на профессиональный доход. В случае отсутствия такого подтверждения Агент вправе приостановить выплату до подтверждения такого статуса. При одобрении запроса на вывод (перевод) денежных средств Стороны заключают  отдельное Дополнительное Соглашение к настоящему Договору.</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Все оформленные запросы на вывод средств обрабатываются Агентом в срок от 1 до 5 рабочих дней. Отслеживать статус выполнения запроса Пользователь может в соответствующем разделе своего Личного кабинета. В Личном кабинете Пользователю также доступна статистика по привлеченным Рефералам и суммам партнерского вознаграждения. </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Запрещено привлечение Рефералов с помощью почтового спама, спама в социальных сетях, на форумах и прочих видов спама, выстраивание реферальных связей и регистрация более одной учетной записи одним и тем же Пользователем с целью получения партнерского вознаграждения. При выявлении факта регистрации одним Пользователем более одного аккаунта, все аккаунты Пользователя могут быть заблокированы без возможности возврата средств с внутреннего баланса учетной записи.</w:t>
      </w:r>
    </w:p>
    <w:p>
      <w:pPr>
        <w:pStyle w:val="Normal"/>
        <w:keepNext w:val="false"/>
        <w:keepLines w:val="false"/>
        <w:pageBreakBefore w:val="false"/>
        <w:widowControl/>
        <w:numPr>
          <w:ilvl w:val="0"/>
          <w:numId w:val="5"/>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КОНФИДЕНЦИАЛЬНОСТЬ</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Порядок обработки персональных данных определяется Политикой конфиденциальности, которая опубликована на Платформе в разделе «Политика конфиденциальности» [</w:t>
      </w:r>
      <w:hyperlink r:id="rId3">
        <w:r>
          <w:rPr>
            <w:rStyle w:val="ListLabel22"/>
            <w:rFonts w:eastAsia="Times New Roman" w:cs="Times New Roman"/>
            <w:b w:val="false"/>
            <w:i w:val="false"/>
            <w:caps w:val="false"/>
            <w:smallCaps w:val="false"/>
            <w:strike w:val="false"/>
            <w:dstrike w:val="false"/>
            <w:color w:val="1155CC"/>
            <w:position w:val="0"/>
            <w:sz w:val="22"/>
            <w:sz w:val="22"/>
            <w:szCs w:val="22"/>
            <w:u w:val="single"/>
            <w:shd w:fill="auto" w:val="clear"/>
            <w:vertAlign w:val="baseline"/>
          </w:rPr>
          <w:t>https://app.marketmonstr.pro/conf_policy.pdf</w:t>
        </w:r>
      </w:hyperlink>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p>
    <w:p>
      <w:pPr>
        <w:pStyle w:val="Normal"/>
        <w:keepNext w:val="false"/>
        <w:keepLines w:val="false"/>
        <w:pageBreakBefore w:val="false"/>
        <w:widowControl/>
        <w:numPr>
          <w:ilvl w:val="0"/>
          <w:numId w:val="5"/>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ПОРЯДОК ВНЕСЕНИЯ ИЗМЕНЕНИЙ ИЛИ РАСТОРЖЕНИЯ ДОГОВОРА</w:t>
      </w:r>
    </w:p>
    <w:p>
      <w:pPr>
        <w:pStyle w:val="Normal"/>
        <w:keepNext w:val="false"/>
        <w:keepLines w:val="false"/>
        <w:pageBreakBefore w:val="false"/>
        <w:widowControl/>
        <w:numPr>
          <w:ilvl w:val="1"/>
          <w:numId w:val="5"/>
        </w:numPr>
        <w:shd w:val="clear" w:fill="auto"/>
        <w:tabs>
          <w:tab w:val="clear" w:pos="720"/>
          <w:tab w:val="left" w:pos="3757" w:leader="none"/>
        </w:tabs>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имеет право в одностороннем порядке и в любое время без уведомления Пользователя вносить изменения в Договор путем внесения изменений к текущей редакции либо утверждения его новой редакции. Новая редакция Договора вступает в силу с момента его опубликования на Платформе, если Агентом прямо не указано иное в тексте новой редакции Договора.</w:t>
      </w:r>
    </w:p>
    <w:p>
      <w:pPr>
        <w:pStyle w:val="Normal"/>
        <w:keepNext w:val="false"/>
        <w:keepLines w:val="false"/>
        <w:pageBreakBefore w:val="false"/>
        <w:widowControl/>
        <w:numPr>
          <w:ilvl w:val="1"/>
          <w:numId w:val="5"/>
        </w:numPr>
        <w:shd w:val="clear" w:fill="auto"/>
        <w:tabs>
          <w:tab w:val="clear" w:pos="720"/>
          <w:tab w:val="left" w:pos="3757" w:leader="none"/>
        </w:tabs>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Регулярное ознакомление с действующей редакцией Договора является обязанностью Пользователя. Продолжение использования Платформы после размещения новой редакции Договора означает полное и безоговорочное согласие Пользователя с новой редакцией Договора. </w:t>
      </w:r>
    </w:p>
    <w:p>
      <w:pPr>
        <w:pStyle w:val="Normal"/>
        <w:keepNext w:val="false"/>
        <w:keepLines w:val="false"/>
        <w:pageBreakBefore w:val="false"/>
        <w:widowControl/>
        <w:numPr>
          <w:ilvl w:val="1"/>
          <w:numId w:val="5"/>
        </w:numPr>
        <w:shd w:val="clear" w:fill="auto"/>
        <w:tabs>
          <w:tab w:val="clear" w:pos="720"/>
          <w:tab w:val="left" w:pos="3757" w:leader="none"/>
        </w:tabs>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Публичная оферта действует в той редакции, которая была опубликована во время оформления заявки на сервисы Платформы в рамках купленного Тарифного плана. В случае если Пользователь не согласен с условиями Договора, он обязуется немедленно прекратить использование Платформы. </w:t>
      </w:r>
    </w:p>
    <w:p>
      <w:pPr>
        <w:pStyle w:val="Normal"/>
        <w:keepNext w:val="false"/>
        <w:keepLines w:val="false"/>
        <w:pageBreakBefore w:val="false"/>
        <w:widowControl/>
        <w:numPr>
          <w:ilvl w:val="1"/>
          <w:numId w:val="5"/>
        </w:numPr>
        <w:shd w:val="clear" w:fill="auto"/>
        <w:tabs>
          <w:tab w:val="clear" w:pos="720"/>
          <w:tab w:val="left" w:pos="3757" w:leader="none"/>
        </w:tabs>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Новая редакция Договора распространяется на всех Пользователей, в том числе совершивших Акцепт ранее даты вступления указанных изменений в силу. При этом стороны понимают и соглашаются с тем, что указанные изменения применяются к ним исключительно в той части правоотношений, которые возникнут после их вступления в силу. </w:t>
      </w:r>
    </w:p>
    <w:p>
      <w:pPr>
        <w:pStyle w:val="Normal"/>
        <w:keepNext w:val="false"/>
        <w:keepLines w:val="false"/>
        <w:pageBreakBefore w:val="false"/>
        <w:widowControl/>
        <w:numPr>
          <w:ilvl w:val="1"/>
          <w:numId w:val="5"/>
        </w:numPr>
        <w:shd w:val="clear" w:fill="auto"/>
        <w:tabs>
          <w:tab w:val="clear" w:pos="720"/>
          <w:tab w:val="left" w:pos="3757" w:leader="none"/>
        </w:tabs>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Договор может быть расторгнут по следующим основаниям: </w:t>
      </w:r>
    </w:p>
    <w:p>
      <w:pPr>
        <w:pStyle w:val="Normal"/>
        <w:keepNext w:val="false"/>
        <w:keepLines w:val="false"/>
        <w:pageBreakBefore w:val="false"/>
        <w:widowControl/>
        <w:numPr>
          <w:ilvl w:val="0"/>
          <w:numId w:val="4"/>
        </w:numPr>
        <w:shd w:val="clear" w:fill="auto"/>
        <w:tabs>
          <w:tab w:val="clear" w:pos="720"/>
          <w:tab w:val="left" w:pos="3757" w:leader="none"/>
        </w:tabs>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 соглашению сторон;</w:t>
      </w:r>
    </w:p>
    <w:p>
      <w:pPr>
        <w:pStyle w:val="Normal"/>
        <w:keepNext w:val="false"/>
        <w:keepLines w:val="false"/>
        <w:pageBreakBefore w:val="false"/>
        <w:widowControl/>
        <w:numPr>
          <w:ilvl w:val="0"/>
          <w:numId w:val="4"/>
        </w:numPr>
        <w:shd w:val="clear" w:fill="auto"/>
        <w:tabs>
          <w:tab w:val="clear" w:pos="720"/>
          <w:tab w:val="left" w:pos="3757" w:leader="none"/>
        </w:tabs>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 инициативе Пользователя или Агента в одностороннем (внесудебном) порядке в случаях, предусмотренных Договором и законодательством Российской Федерации.</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может приостановить или прекратить действие настоящего Договора или использования Пользователем немедленно после получения любого уведомления, в котором утверждается, что Пользователь использовал Платформу в любых целях, нарушающих любое местное, региональное или федеральное законодательство или законодательство других стран.</w:t>
      </w:r>
    </w:p>
    <w:p>
      <w:pPr>
        <w:pStyle w:val="Normal"/>
        <w:keepNext w:val="false"/>
        <w:keepLines w:val="false"/>
        <w:pageBreakBefore w:val="false"/>
        <w:widowControl/>
        <w:numPr>
          <w:ilvl w:val="0"/>
          <w:numId w:val="5"/>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ЗАКЛЮЧИТЕЛЬНЫЕ ПОЛОЖЕНИЯ</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Соглашение регулируется и толкуется в соответствии с законодательством Российской Федерации.</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Если какой-либо пункт Договора будет признан недействительным, ничтожным или по какой-либо причине не имеющим исковой силы, такой пункт считается отделимым и не влияет на действительность и применимость остальных пунктов Договора.</w:t>
      </w:r>
    </w:p>
    <w:p>
      <w:pPr>
        <w:pStyle w:val="Normal"/>
        <w:keepNext w:val="false"/>
        <w:keepLines w:val="false"/>
        <w:pageBreakBefore w:val="false"/>
        <w:widowControl/>
        <w:numPr>
          <w:ilvl w:val="1"/>
          <w:numId w:val="5"/>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Настоящий Договор вступает в силу для Пользователя с момента его Акцепта и действует в течение неопределённого срока. После совершения Акцепта все предыдущие устные или письменные соглашения между сторонами признаются утратившими свою силу, а стороны руководствуются исключительно условиями Договора. Во всем ином, что не предусмотрено Договором, стороны руководствуются законодательством Российской Федерации, а в случае отсутствия нормы права, регулирующей возникшие правоотношения, сложившимися обычаями делового оборота (ст. 5 Гражданского кодекса РФ).</w:t>
      </w:r>
    </w:p>
    <w:p>
      <w:pPr>
        <w:pStyle w:val="Normal"/>
        <w:numPr>
          <w:ilvl w:val="0"/>
          <w:numId w:val="5"/>
        </w:numPr>
        <w:spacing w:lineRule="auto" w:line="360" w:before="0" w:after="0"/>
        <w:ind w:left="360" w:hanging="360"/>
        <w:rPr>
          <w:b w:val="false"/>
          <w:b w:val="false"/>
        </w:rPr>
      </w:pPr>
      <w:r>
        <w:rPr>
          <w:b/>
        </w:rPr>
        <w:t>АДРЕСА И РЕКВИЗИТЫ СТОРОН</w:t>
      </w:r>
    </w:p>
    <w:p>
      <w:pPr>
        <w:pStyle w:val="Normal"/>
        <w:spacing w:lineRule="auto" w:line="240" w:before="0" w:after="0"/>
        <w:rPr/>
      </w:pPr>
      <w:r>
        <w:rPr/>
      </w:r>
    </w:p>
    <w:tbl>
      <w:tblPr>
        <w:tblStyle w:val="Table1"/>
        <w:tblW w:w="9030" w:type="dxa"/>
        <w:jc w:val="left"/>
        <w:tblInd w:w="0" w:type="dxa"/>
        <w:tblCellMar>
          <w:top w:w="100" w:type="dxa"/>
          <w:left w:w="100" w:type="dxa"/>
          <w:bottom w:w="100" w:type="dxa"/>
          <w:right w:w="100" w:type="dxa"/>
        </w:tblCellMar>
        <w:tblLook w:val="0600"/>
      </w:tblPr>
      <w:tblGrid>
        <w:gridCol w:w="2320"/>
        <w:gridCol w:w="6709"/>
      </w:tblGrid>
      <w:tr>
        <w:trPr/>
        <w:tc>
          <w:tcPr>
            <w:tcW w:w="2320" w:type="dxa"/>
            <w:tcBorders>
              <w:top w:val="single" w:sz="8" w:space="0" w:color="000000"/>
              <w:left w:val="single" w:sz="8" w:space="0" w:color="000000"/>
              <w:bottom w:val="single" w:sz="8" w:space="0" w:color="000000"/>
              <w:right w:val="single" w:sz="8" w:space="0" w:color="000000"/>
            </w:tcBorders>
            <w:shd w:fill="auto" w:val="clear"/>
          </w:tcPr>
          <w:p>
            <w:pPr>
              <w:pStyle w:val="Normal"/>
              <w:keepNext w:val="false"/>
              <w:keepLines w:val="false"/>
              <w:widowControl w:val="false"/>
              <w:shd w:val="clear" w:fill="auto"/>
              <w:spacing w:lineRule="auto" w:line="240" w:before="0" w:after="0"/>
              <w:ind w:left="0" w:right="0" w:hanging="0"/>
              <w:jc w:val="left"/>
              <w:rPr>
                <w:b/>
                <w:b/>
              </w:rPr>
            </w:pPr>
            <w:r>
              <w:rPr>
                <w:b/>
              </w:rPr>
              <w:t>Агент</w:t>
            </w:r>
          </w:p>
        </w:tc>
        <w:tc>
          <w:tcPr>
            <w:tcW w:w="6709"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76" w:before="0" w:after="0"/>
              <w:rPr>
                <w:highlight w:val="white"/>
              </w:rPr>
            </w:pPr>
            <w:r>
              <w:rPr>
                <w:highlight w:val="white"/>
              </w:rPr>
              <w:t>Индивидуальный предприниматель Новиков Андрей Валерьевич</w:t>
            </w:r>
          </w:p>
        </w:tc>
      </w:tr>
      <w:tr>
        <w:trPr>
          <w:trHeight w:val="477" w:hRule="atLeast"/>
        </w:trPr>
        <w:tc>
          <w:tcPr>
            <w:tcW w:w="2320" w:type="dxa"/>
            <w:tcBorders>
              <w:top w:val="single" w:sz="8" w:space="0" w:color="000000"/>
              <w:left w:val="single" w:sz="8" w:space="0" w:color="000000"/>
              <w:bottom w:val="single" w:sz="8" w:space="0" w:color="000000"/>
              <w:right w:val="single" w:sz="8" w:space="0" w:color="000000"/>
            </w:tcBorders>
            <w:shd w:fill="auto" w:val="clear"/>
          </w:tcPr>
          <w:p>
            <w:pPr>
              <w:pStyle w:val="Normal"/>
              <w:spacing w:lineRule="auto" w:line="240" w:before="0" w:after="0"/>
              <w:rPr/>
            </w:pPr>
            <w:r>
              <w:rPr/>
              <w:t>ОГРНИП</w:t>
            </w:r>
          </w:p>
        </w:tc>
        <w:tc>
          <w:tcPr>
            <w:tcW w:w="6709"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76" w:before="0" w:after="0"/>
              <w:rPr>
                <w:highlight w:val="white"/>
              </w:rPr>
            </w:pPr>
            <w:r>
              <w:rPr>
                <w:highlight w:val="white"/>
              </w:rPr>
              <w:t>323508100472670</w:t>
            </w:r>
          </w:p>
        </w:tc>
      </w:tr>
      <w:tr>
        <w:trPr/>
        <w:tc>
          <w:tcPr>
            <w:tcW w:w="2320" w:type="dxa"/>
            <w:tcBorders>
              <w:top w:val="single" w:sz="8" w:space="0" w:color="000000"/>
              <w:left w:val="single" w:sz="8" w:space="0" w:color="000000"/>
              <w:bottom w:val="single" w:sz="8" w:space="0" w:color="000000"/>
              <w:right w:val="single" w:sz="8" w:space="0" w:color="000000"/>
            </w:tcBorders>
            <w:shd w:fill="auto" w:val="clear"/>
          </w:tcPr>
          <w:p>
            <w:pPr>
              <w:pStyle w:val="Normal"/>
              <w:spacing w:lineRule="auto" w:line="240" w:before="0" w:after="0"/>
              <w:rPr/>
            </w:pPr>
            <w:r>
              <w:rPr/>
              <w:t>ИНН</w:t>
            </w:r>
          </w:p>
        </w:tc>
        <w:tc>
          <w:tcPr>
            <w:tcW w:w="6709"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76" w:before="0" w:after="0"/>
              <w:rPr>
                <w:highlight w:val="white"/>
              </w:rPr>
            </w:pPr>
            <w:r>
              <w:rPr>
                <w:highlight w:val="white"/>
              </w:rPr>
              <w:t>713602742755</w:t>
            </w:r>
          </w:p>
        </w:tc>
      </w:tr>
      <w:tr>
        <w:trPr/>
        <w:tc>
          <w:tcPr>
            <w:tcW w:w="2320" w:type="dxa"/>
            <w:tcBorders>
              <w:top w:val="single" w:sz="8" w:space="0" w:color="000000"/>
              <w:left w:val="single" w:sz="8" w:space="0" w:color="000000"/>
              <w:bottom w:val="single" w:sz="8" w:space="0" w:color="000000"/>
              <w:right w:val="single" w:sz="8" w:space="0" w:color="000000"/>
            </w:tcBorders>
            <w:shd w:fill="auto" w:val="clear"/>
          </w:tcPr>
          <w:p>
            <w:pPr>
              <w:pStyle w:val="Normal"/>
              <w:spacing w:lineRule="auto" w:line="240" w:before="0" w:after="0"/>
              <w:rPr/>
            </w:pPr>
            <w:r>
              <w:rPr/>
              <w:t>Адрес</w:t>
            </w:r>
          </w:p>
        </w:tc>
        <w:tc>
          <w:tcPr>
            <w:tcW w:w="6709"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76" w:before="0" w:after="0"/>
              <w:rPr>
                <w:highlight w:val="white"/>
              </w:rPr>
            </w:pPr>
            <w:r>
              <w:rPr>
                <w:highlight w:val="white"/>
              </w:rPr>
              <w:t>141401, Московская область, г.о. Химки, ул. 8 марта, д. 2а, кв. 1</w:t>
            </w:r>
          </w:p>
        </w:tc>
      </w:tr>
      <w:tr>
        <w:trPr/>
        <w:tc>
          <w:tcPr>
            <w:tcW w:w="2320"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18" w:before="0" w:after="0"/>
              <w:jc w:val="both"/>
              <w:rPr/>
            </w:pPr>
            <w:r>
              <w:rPr/>
              <w:t>Банк</w:t>
            </w:r>
          </w:p>
        </w:tc>
        <w:tc>
          <w:tcPr>
            <w:tcW w:w="6709"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18" w:before="0" w:after="0"/>
              <w:jc w:val="both"/>
              <w:rPr>
                <w:highlight w:val="white"/>
              </w:rPr>
            </w:pPr>
            <w:r>
              <w:rPr/>
              <w:t>АО «Альфа-Банк»</w:t>
            </w:r>
          </w:p>
        </w:tc>
      </w:tr>
      <w:tr>
        <w:trPr/>
        <w:tc>
          <w:tcPr>
            <w:tcW w:w="2320"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18" w:before="0" w:after="0"/>
              <w:jc w:val="both"/>
              <w:rPr/>
            </w:pPr>
            <w:r>
              <w:rPr/>
              <w:t>БИК</w:t>
            </w:r>
          </w:p>
        </w:tc>
        <w:tc>
          <w:tcPr>
            <w:tcW w:w="6709"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18" w:before="0" w:after="0"/>
              <w:jc w:val="both"/>
              <w:rPr>
                <w:highlight w:val="white"/>
              </w:rPr>
            </w:pPr>
            <w:r>
              <w:rPr/>
              <w:t>044525593</w:t>
            </w:r>
          </w:p>
        </w:tc>
      </w:tr>
      <w:tr>
        <w:trPr/>
        <w:tc>
          <w:tcPr>
            <w:tcW w:w="2320"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18" w:before="0" w:after="0"/>
              <w:jc w:val="both"/>
              <w:rPr/>
            </w:pPr>
            <w:r>
              <w:rPr/>
              <w:t>Расчетный счет</w:t>
            </w:r>
          </w:p>
        </w:tc>
        <w:tc>
          <w:tcPr>
            <w:tcW w:w="6709"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18" w:before="0" w:after="0"/>
              <w:jc w:val="both"/>
              <w:rPr>
                <w:highlight w:val="white"/>
              </w:rPr>
            </w:pPr>
            <w:r>
              <w:rPr/>
              <w:t>40802810401300014591</w:t>
            </w:r>
          </w:p>
        </w:tc>
      </w:tr>
      <w:tr>
        <w:trPr/>
        <w:tc>
          <w:tcPr>
            <w:tcW w:w="2320"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18" w:before="0" w:after="0"/>
              <w:jc w:val="both"/>
              <w:rPr/>
            </w:pPr>
            <w:r>
              <w:rPr/>
              <w:t>Кор. Cчёт</w:t>
            </w:r>
          </w:p>
        </w:tc>
        <w:tc>
          <w:tcPr>
            <w:tcW w:w="6709"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18" w:before="0" w:after="0"/>
              <w:jc w:val="both"/>
              <w:rPr>
                <w:highlight w:val="white"/>
              </w:rPr>
            </w:pPr>
            <w:r>
              <w:rPr/>
              <w:t>30101810200000000593</w:t>
            </w:r>
          </w:p>
        </w:tc>
      </w:tr>
      <w:tr>
        <w:trPr/>
        <w:tc>
          <w:tcPr>
            <w:tcW w:w="2320" w:type="dxa"/>
            <w:tcBorders>
              <w:top w:val="single" w:sz="8" w:space="0" w:color="000000"/>
              <w:left w:val="single" w:sz="8" w:space="0" w:color="000000"/>
              <w:bottom w:val="single" w:sz="8" w:space="0" w:color="000000"/>
              <w:right w:val="single" w:sz="8" w:space="0" w:color="000000"/>
            </w:tcBorders>
            <w:shd w:fill="auto" w:val="clear"/>
          </w:tcPr>
          <w:p>
            <w:pPr>
              <w:pStyle w:val="Normal"/>
              <w:spacing w:lineRule="auto" w:line="240" w:before="0" w:after="0"/>
              <w:rPr/>
            </w:pPr>
            <w:r>
              <w:rPr/>
              <w:t>Эл. почта</w:t>
            </w:r>
          </w:p>
        </w:tc>
        <w:tc>
          <w:tcPr>
            <w:tcW w:w="6709"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76" w:before="0" w:after="0"/>
              <w:rPr/>
            </w:pPr>
            <w:r>
              <w:rPr>
                <w:highlight w:val="white"/>
              </w:rPr>
              <w:t>checkmp@mail.ru</w:t>
            </w:r>
          </w:p>
        </w:tc>
      </w:tr>
    </w:tbl>
    <w:p>
      <w:pPr>
        <w:pStyle w:val="Normal"/>
        <w:spacing w:lineRule="auto" w:line="240" w:before="0" w:after="0"/>
        <w:rPr/>
      </w:pPr>
      <w:r>
        <w:rPr/>
      </w:r>
    </w:p>
    <w:p>
      <w:pPr>
        <w:pStyle w:val="Normal"/>
        <w:spacing w:lineRule="auto" w:line="240" w:before="0" w:after="0"/>
        <w:rPr/>
      </w:pPr>
      <w:r>
        <w:rPr/>
      </w:r>
    </w:p>
    <w:tbl>
      <w:tblPr>
        <w:tblStyle w:val="Table2"/>
        <w:tblW w:w="9071" w:type="dxa"/>
        <w:jc w:val="left"/>
        <w:tblInd w:w="0" w:type="dxa"/>
        <w:tblCellMar>
          <w:top w:w="100" w:type="dxa"/>
          <w:left w:w="100" w:type="dxa"/>
          <w:bottom w:w="100" w:type="dxa"/>
          <w:right w:w="100" w:type="dxa"/>
        </w:tblCellMar>
        <w:tblLook w:val="0600"/>
      </w:tblPr>
      <w:tblGrid>
        <w:gridCol w:w="4535"/>
        <w:gridCol w:w="4535"/>
      </w:tblGrid>
      <w:tr>
        <w:trPr/>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40" w:before="0" w:after="0"/>
              <w:rPr>
                <w:b/>
                <w:b/>
              </w:rPr>
            </w:pPr>
            <w:r>
              <w:rPr>
                <w:b/>
              </w:rPr>
              <w:t>Пользователь</w:t>
            </w:r>
          </w:p>
        </w:tc>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bidi w:val="0"/>
              <w:spacing w:lineRule="auto" w:line="276" w:before="0" w:after="0"/>
              <w:rPr>
                <w:lang w:val="en-US"/>
              </w:rPr>
            </w:pPr>
            <w:r>
              <w:rPr>
                <w:lang w:val="en-US"/>
              </w:rPr>
              <w:t>{{fioFirst}}</w:t>
            </w:r>
          </w:p>
        </w:tc>
      </w:tr>
      <w:tr>
        <w:trPr>
          <w:trHeight w:val="477" w:hRule="atLeast"/>
        </w:trPr>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widowControl/>
              <w:bidi w:val="0"/>
              <w:spacing w:lineRule="auto" w:line="259" w:before="0" w:after="160"/>
              <w:jc w:val="left"/>
              <w:rPr/>
            </w:pPr>
            <w:r>
              <w:rPr/>
              <w:t>ОГРНИП</w:t>
            </w:r>
          </w:p>
        </w:tc>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76" w:before="0" w:after="160"/>
              <w:rPr>
                <w:highlight w:val="white"/>
                <w:lang w:val="en-US"/>
              </w:rPr>
            </w:pPr>
            <w:r>
              <w:rPr>
                <w:highlight w:val="white"/>
                <w:lang w:val="en-US"/>
              </w:rPr>
              <w:t>{{ogrn}}</w:t>
            </w:r>
          </w:p>
        </w:tc>
      </w:tr>
      <w:tr>
        <w:trPr/>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widowControl/>
              <w:bidi w:val="0"/>
              <w:spacing w:lineRule="auto" w:line="259" w:before="0" w:after="160"/>
              <w:jc w:val="left"/>
              <w:rPr/>
            </w:pPr>
            <w:r>
              <w:rPr/>
              <w:t>ИНН</w:t>
            </w:r>
          </w:p>
        </w:tc>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76" w:before="0" w:after="160"/>
              <w:rPr>
                <w:highlight w:val="white"/>
                <w:lang w:val="en-US"/>
              </w:rPr>
            </w:pPr>
            <w:r>
              <w:rPr>
                <w:highlight w:val="white"/>
                <w:lang w:val="en-US"/>
              </w:rPr>
              <w:t>{{inn}}</w:t>
            </w:r>
          </w:p>
        </w:tc>
      </w:tr>
      <w:tr>
        <w:trPr/>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widowControl/>
              <w:bidi w:val="0"/>
              <w:spacing w:lineRule="auto" w:line="259" w:before="0" w:after="160"/>
              <w:jc w:val="left"/>
              <w:rPr/>
            </w:pPr>
            <w:r>
              <w:rPr/>
              <w:t>Адрес</w:t>
            </w:r>
          </w:p>
        </w:tc>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76" w:before="0" w:after="160"/>
              <w:rPr>
                <w:highlight w:val="white"/>
                <w:lang w:val="en-US"/>
              </w:rPr>
            </w:pPr>
            <w:r>
              <w:rPr>
                <w:highlight w:val="white"/>
                <w:lang w:val="en-US"/>
              </w:rPr>
              <w:t>{{address}}</w:t>
            </w:r>
          </w:p>
        </w:tc>
      </w:tr>
      <w:tr>
        <w:trPr/>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spacing w:lineRule="auto" w:line="218" w:before="0" w:after="160"/>
              <w:rPr/>
            </w:pPr>
            <w:r>
              <w:rPr/>
              <w:t>Банк</w:t>
            </w:r>
          </w:p>
        </w:tc>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76" w:before="0" w:after="160"/>
              <w:rPr>
                <w:highlight w:val="white"/>
                <w:lang w:val="en-US"/>
              </w:rPr>
            </w:pPr>
            <w:r>
              <w:rPr>
                <w:highlight w:val="white"/>
                <w:lang w:val="en-US"/>
              </w:rPr>
              <w:t>{{bank}}</w:t>
            </w:r>
          </w:p>
        </w:tc>
      </w:tr>
      <w:tr>
        <w:trPr/>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spacing w:lineRule="auto" w:line="218" w:before="0" w:after="160"/>
              <w:rPr/>
            </w:pPr>
            <w:r>
              <w:rPr/>
              <w:t>БИК</w:t>
            </w:r>
          </w:p>
        </w:tc>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76" w:before="0" w:after="160"/>
              <w:rPr>
                <w:highlight w:val="white"/>
                <w:lang w:val="en-US"/>
              </w:rPr>
            </w:pPr>
            <w:r>
              <w:rPr>
                <w:highlight w:val="white"/>
                <w:lang w:val="en-US"/>
              </w:rPr>
              <w:t>{{bik}}</w:t>
            </w:r>
          </w:p>
        </w:tc>
      </w:tr>
      <w:tr>
        <w:trPr/>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spacing w:lineRule="auto" w:line="218" w:before="0" w:after="160"/>
              <w:rPr/>
            </w:pPr>
            <w:r>
              <w:rPr/>
              <w:t>Расчетный счет</w:t>
            </w:r>
          </w:p>
        </w:tc>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76" w:before="0" w:after="160"/>
              <w:rPr>
                <w:highlight w:val="white"/>
                <w:lang w:val="en-US"/>
              </w:rPr>
            </w:pPr>
            <w:r>
              <w:rPr>
                <w:highlight w:val="white"/>
                <w:lang w:val="en-US"/>
              </w:rPr>
              <w:t>{{rs}}</w:t>
            </w:r>
          </w:p>
        </w:tc>
      </w:tr>
      <w:tr>
        <w:trPr/>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spacing w:lineRule="auto" w:line="218" w:before="0" w:after="160"/>
              <w:rPr/>
            </w:pPr>
            <w:r>
              <w:rPr/>
              <w:t>Кор. Cчёт</w:t>
            </w:r>
          </w:p>
        </w:tc>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76" w:before="0" w:after="160"/>
              <w:rPr>
                <w:highlight w:val="white"/>
                <w:lang w:val="en-US"/>
              </w:rPr>
            </w:pPr>
            <w:r>
              <w:rPr>
                <w:highlight w:val="white"/>
                <w:lang w:val="en-US"/>
              </w:rPr>
              <w:t>{{ks}}</w:t>
            </w:r>
          </w:p>
        </w:tc>
      </w:tr>
      <w:tr>
        <w:trPr/>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widowControl/>
              <w:bidi w:val="0"/>
              <w:spacing w:lineRule="auto" w:line="259" w:before="0" w:after="160"/>
              <w:jc w:val="left"/>
              <w:rPr/>
            </w:pPr>
            <w:r>
              <w:rPr/>
              <w:t>Эл. почта</w:t>
            </w:r>
          </w:p>
        </w:tc>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76" w:before="0" w:after="160"/>
              <w:rPr>
                <w:highlight w:val="white"/>
                <w:lang w:val="en-US"/>
              </w:rPr>
            </w:pPr>
            <w:r>
              <w:rPr>
                <w:highlight w:val="white"/>
                <w:lang w:val="en-US"/>
              </w:rPr>
              <w:t>{{email}}</w:t>
            </w:r>
          </w:p>
        </w:tc>
      </w:tr>
    </w:tbl>
    <w:p>
      <w:pPr>
        <w:pStyle w:val="Normal"/>
        <w:keepNext w:val="true"/>
        <w:spacing w:lineRule="auto" w:line="360" w:before="0" w:after="0"/>
        <w:ind w:left="0" w:hanging="0"/>
        <w:rPr>
          <w:sz w:val="24"/>
          <w:szCs w:val="24"/>
        </w:rPr>
      </w:pPr>
      <w:r>
        <w:rPr>
          <w:sz w:val="24"/>
          <w:szCs w:val="24"/>
        </w:rPr>
      </w:r>
    </w:p>
    <w:p>
      <w:pPr>
        <w:pStyle w:val="Normal"/>
        <w:keepNext w:val="true"/>
        <w:spacing w:lineRule="auto" w:line="360" w:before="0" w:after="0"/>
        <w:ind w:left="0" w:hanging="0"/>
        <w:rPr>
          <w:b/>
          <w:b/>
        </w:rPr>
      </w:pPr>
      <w:r>
        <w:rPr/>
        <w:t xml:space="preserve">20. </w:t>
      </w:r>
      <w:r>
        <w:rPr>
          <w:b/>
        </w:rPr>
        <w:t>ПОДПИСИ СТОРОН</w:t>
      </w:r>
    </w:p>
    <w:tbl>
      <w:tblPr>
        <w:tblStyle w:val="Table3"/>
        <w:tblW w:w="9349" w:type="dxa"/>
        <w:jc w:val="left"/>
        <w:tblInd w:w="-113" w:type="dxa"/>
        <w:tblCellMar>
          <w:top w:w="0" w:type="dxa"/>
          <w:left w:w="108" w:type="dxa"/>
          <w:bottom w:w="0" w:type="dxa"/>
          <w:right w:w="108" w:type="dxa"/>
        </w:tblCellMar>
        <w:tblLook w:val="0000"/>
      </w:tblPr>
      <w:tblGrid>
        <w:gridCol w:w="4677"/>
        <w:gridCol w:w="4671"/>
      </w:tblGrid>
      <w:tr>
        <w:trPr/>
        <w:tc>
          <w:tcPr>
            <w:tcW w:w="4677"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jc w:val="center"/>
              <w:rPr>
                <w:b/>
                <w:b/>
                <w:sz w:val="20"/>
                <w:szCs w:val="20"/>
              </w:rPr>
            </w:pPr>
            <w:r>
              <w:rPr>
                <w:b/>
                <w:sz w:val="20"/>
                <w:szCs w:val="20"/>
              </w:rPr>
            </w:r>
          </w:p>
          <w:p>
            <w:pPr>
              <w:pStyle w:val="Normal"/>
              <w:spacing w:lineRule="auto" w:line="240" w:before="0" w:after="0"/>
              <w:jc w:val="center"/>
              <w:rPr>
                <w:b/>
                <w:b/>
                <w:sz w:val="20"/>
                <w:szCs w:val="20"/>
              </w:rPr>
            </w:pPr>
            <w:r>
              <w:rPr>
                <w:b/>
                <w:sz w:val="20"/>
                <w:szCs w:val="20"/>
              </w:rPr>
              <w:t>Агент</w:t>
            </w:r>
          </w:p>
          <w:p>
            <w:pPr>
              <w:pStyle w:val="Normal"/>
              <w:spacing w:lineRule="auto" w:line="240" w:before="0" w:after="0"/>
              <w:jc w:val="center"/>
              <w:rPr>
                <w:b/>
                <w:b/>
                <w:sz w:val="20"/>
                <w:szCs w:val="20"/>
              </w:rPr>
            </w:pPr>
            <w:r>
              <w:rPr>
                <w:b/>
                <w:sz w:val="20"/>
                <w:szCs w:val="20"/>
              </w:rPr>
            </w:r>
          </w:p>
        </w:tc>
        <w:tc>
          <w:tcPr>
            <w:tcW w:w="467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jc w:val="left"/>
              <w:rPr>
                <w:b/>
                <w:b/>
                <w:sz w:val="20"/>
                <w:szCs w:val="20"/>
              </w:rPr>
            </w:pPr>
            <w:r>
              <w:rPr>
                <w:b/>
                <w:sz w:val="20"/>
                <w:szCs w:val="20"/>
              </w:rPr>
            </w:r>
          </w:p>
          <w:p>
            <w:pPr>
              <w:pStyle w:val="Normal"/>
              <w:spacing w:lineRule="auto" w:line="240" w:before="0" w:after="0"/>
              <w:jc w:val="center"/>
              <w:rPr>
                <w:b/>
                <w:b/>
                <w:sz w:val="20"/>
                <w:szCs w:val="20"/>
              </w:rPr>
            </w:pPr>
            <w:r>
              <w:rPr>
                <w:b/>
                <w:sz w:val="20"/>
                <w:szCs w:val="20"/>
              </w:rPr>
              <w:t>Пользователь</w:t>
            </w:r>
          </w:p>
        </w:tc>
      </w:tr>
      <w:tr>
        <w:trPr/>
        <w:tc>
          <w:tcPr>
            <w:tcW w:w="4677" w:type="dxa"/>
            <w:tcBorders>
              <w:top w:val="single" w:sz="4" w:space="0" w:color="000000"/>
              <w:left w:val="single" w:sz="4" w:space="0" w:color="000000"/>
              <w:bottom w:val="single" w:sz="4" w:space="0" w:color="000000"/>
              <w:right w:val="single" w:sz="4" w:space="0" w:color="000000"/>
            </w:tcBorders>
            <w:shd w:fill="auto" w:val="clear"/>
          </w:tcPr>
          <w:p>
            <w:pPr>
              <w:pStyle w:val="Normal"/>
              <w:widowControl w:val="false"/>
              <w:spacing w:lineRule="auto" w:line="276" w:before="0" w:after="0"/>
              <w:jc w:val="center"/>
              <w:rPr>
                <w:sz w:val="20"/>
                <w:szCs w:val="20"/>
                <w:highlight w:val="white"/>
              </w:rPr>
            </w:pPr>
            <w:bookmarkStart w:id="8" w:name="__DdeLink__492_4279506298"/>
            <w:r>
              <w:rPr>
                <w:sz w:val="20"/>
                <w:szCs w:val="20"/>
                <w:highlight w:val="white"/>
              </w:rPr>
              <w:t>Индивидуальный предприниматель</w:t>
            </w:r>
            <w:bookmarkEnd w:id="8"/>
          </w:p>
          <w:p>
            <w:pPr>
              <w:pStyle w:val="Normal"/>
              <w:widowControl w:val="false"/>
              <w:spacing w:lineRule="auto" w:line="276" w:before="0" w:after="0"/>
              <w:jc w:val="center"/>
              <w:rPr>
                <w:sz w:val="18"/>
                <w:szCs w:val="18"/>
              </w:rPr>
            </w:pPr>
            <w:r>
              <w:rPr>
                <w:sz w:val="20"/>
                <w:szCs w:val="20"/>
                <w:highlight w:val="white"/>
              </w:rPr>
              <w:t>Новиков Андрей Валерьевич</w:t>
            </w:r>
          </w:p>
        </w:tc>
        <w:tc>
          <w:tcPr>
            <w:tcW w:w="4671" w:type="dxa"/>
            <w:tcBorders>
              <w:top w:val="single" w:sz="4" w:space="0" w:color="000000"/>
              <w:left w:val="single" w:sz="4" w:space="0" w:color="000000"/>
              <w:bottom w:val="single" w:sz="4" w:space="0" w:color="000000"/>
              <w:right w:val="single" w:sz="4" w:space="0" w:color="000000"/>
            </w:tcBorders>
            <w:shd w:fill="auto" w:val="clear"/>
          </w:tcPr>
          <w:p>
            <w:pPr>
              <w:pStyle w:val="Normal"/>
              <w:widowControl w:val="false"/>
              <w:bidi w:val="0"/>
              <w:spacing w:lineRule="auto" w:line="276" w:before="0" w:after="0"/>
              <w:jc w:val="center"/>
              <w:rPr>
                <w:lang w:val="ru-RU"/>
              </w:rPr>
            </w:pPr>
            <w:bookmarkStart w:id="9" w:name="__DdeLink__3355_674704019"/>
            <w:r>
              <w:rPr>
                <w:sz w:val="20"/>
                <w:szCs w:val="20"/>
                <w:highlight w:val="white"/>
                <w:lang w:val="ru-RU"/>
              </w:rPr>
              <w:t>Генеральный директор</w:t>
            </w:r>
            <w:bookmarkEnd w:id="9"/>
          </w:p>
          <w:p>
            <w:pPr>
              <w:pStyle w:val="Normal"/>
              <w:bidi w:val="0"/>
              <w:spacing w:lineRule="auto" w:line="240" w:before="0" w:after="0"/>
              <w:jc w:val="center"/>
              <w:rPr/>
            </w:pPr>
            <w:r>
              <w:rPr>
                <w:sz w:val="18"/>
                <w:szCs w:val="18"/>
                <w:lang w:val="en-US"/>
              </w:rPr>
              <w:t>{{fio}}</w:t>
            </w:r>
          </w:p>
        </w:tc>
      </w:tr>
      <w:tr>
        <w:trPr/>
        <w:tc>
          <w:tcPr>
            <w:tcW w:w="4677"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jc w:val="center"/>
              <w:rPr>
                <w:sz w:val="18"/>
                <w:szCs w:val="18"/>
              </w:rPr>
            </w:pPr>
            <w:r>
              <w:rPr>
                <w:sz w:val="21"/>
                <w:szCs w:val="21"/>
              </w:rPr>
              <w:t>________________________ / А.В. Новиков</w:t>
            </w:r>
          </w:p>
        </w:tc>
        <w:tc>
          <w:tcPr>
            <w:tcW w:w="467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jc w:val="center"/>
              <w:rPr/>
            </w:pPr>
            <w:r>
              <w:rPr>
                <w:sz w:val="21"/>
                <w:szCs w:val="21"/>
              </w:rPr>
              <w:t>_________________________ /</w:t>
            </w:r>
            <w:r>
              <w:rPr>
                <w:sz w:val="21"/>
                <w:szCs w:val="21"/>
                <w:lang w:val="en-US"/>
              </w:rPr>
              <w:t xml:space="preserve"> {{initials}}</w:t>
            </w:r>
          </w:p>
        </w:tc>
      </w:tr>
    </w:tbl>
    <w:p>
      <w:pPr>
        <w:pStyle w:val="Normal"/>
        <w:spacing w:lineRule="auto" w:line="240" w:before="0" w:after="0"/>
        <w:rPr/>
      </w:pPr>
      <w:r>
        <w:rPr/>
      </w:r>
    </w:p>
    <w:sectPr>
      <w:footerReference w:type="default" r:id="rId4"/>
      <w:type w:val="nextPage"/>
      <w:pgSz w:w="11906" w:h="16838"/>
      <w:pgMar w:left="1701" w:right="1134" w:header="0" w:top="1134" w:footer="709" w:bottom="1134" w:gutter="0"/>
      <w:pgNumType w:start="1"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Calibri">
    <w:charset w:val="00"/>
    <w:family w:val="roman"/>
    <w:pitch w:val="variable"/>
  </w:font>
  <w:font w:name="Segoe UI">
    <w:charset w:val="00"/>
    <w:family w:val="roman"/>
    <w:pitch w:val="variable"/>
  </w:font>
  <w:font w:name="Arial">
    <w:charset w:val="00"/>
    <w:family w:val="roman"/>
    <w:pitch w:val="variable"/>
  </w:font>
  <w:font w:name="Calibri Light">
    <w:charset w:val="00"/>
    <w:family w:val="roman"/>
    <w:pitch w:val="variable"/>
  </w:font>
  <w:font w:name="Georgia">
    <w:charset w:val="00"/>
    <w:family w:val="roman"/>
    <w:pitch w:val="variable"/>
  </w:font>
  <w:font w:name="Cambria Math">
    <w:charset w:val="00"/>
    <w:family w:val="roman"/>
    <w:pitch w:val="variable"/>
  </w:font>
  <w:font w:name="Noto Sans Symbols">
    <w:charset w:val="01"/>
    <w:family w:val="auto"/>
    <w:pitch w:val="variable"/>
  </w:font>
  <w:font w:name="Courier New">
    <w:charset w:val="0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keepNext w:val="false"/>
      <w:keepLines w:val="false"/>
      <w:widowControl w:val="false"/>
      <w:shd w:val="clear" w:fill="auto"/>
      <w:spacing w:lineRule="auto" w:line="276" w:before="0" w:after="0"/>
      <w:ind w:left="0" w:right="0" w:hanging="0"/>
      <w:jc w:val="left"/>
      <w:rPr/>
    </w:pPr>
    <w:r>
      <w:rPr/>
    </w:r>
  </w:p>
  <w:tbl>
    <w:tblPr>
      <w:tblStyle w:val="Table4"/>
      <w:tblW w:w="9071" w:type="dxa"/>
      <w:jc w:val="left"/>
      <w:tblInd w:w="0" w:type="dxa"/>
      <w:tblCellMar>
        <w:top w:w="0" w:type="dxa"/>
        <w:left w:w="108" w:type="dxa"/>
        <w:bottom w:w="0" w:type="dxa"/>
        <w:right w:w="108" w:type="dxa"/>
      </w:tblCellMar>
      <w:tblLook w:val="0400"/>
    </w:tblPr>
    <w:tblGrid>
      <w:gridCol w:w="3036"/>
      <w:gridCol w:w="3017"/>
      <w:gridCol w:w="3018"/>
    </w:tblGrid>
    <w:tr>
      <w:trPr/>
      <w:tc>
        <w:tcPr>
          <w:tcW w:w="3036" w:type="dxa"/>
          <w:tcBorders/>
          <w:shd w:fill="auto" w:val="clear"/>
          <w:vAlign w:val="center"/>
        </w:tcPr>
        <w:p>
          <w:pPr>
            <w:pStyle w:val="Normal"/>
            <w:tabs>
              <w:tab w:val="clear" w:pos="720"/>
              <w:tab w:val="center" w:pos="4153" w:leader="none"/>
              <w:tab w:val="right" w:pos="8306" w:leader="none"/>
            </w:tabs>
            <w:spacing w:before="0" w:after="160"/>
            <w:rPr>
              <w:rFonts w:ascii="Arial" w:hAnsi="Arial" w:eastAsia="Arial" w:cs="Arial"/>
            </w:rPr>
          </w:pPr>
          <w:r>
            <w:rPr>
              <w:rFonts w:eastAsia="Arial" w:cs="Arial" w:ascii="Arial" w:hAnsi="Arial"/>
            </w:rPr>
          </w:r>
        </w:p>
      </w:tc>
      <w:tc>
        <w:tcPr>
          <w:tcW w:w="3017" w:type="dxa"/>
          <w:tcBorders/>
          <w:shd w:fill="auto" w:val="clear"/>
          <w:vAlign w:val="center"/>
        </w:tcPr>
        <w:p>
          <w:pPr>
            <w:pStyle w:val="Normal"/>
            <w:tabs>
              <w:tab w:val="clear" w:pos="720"/>
              <w:tab w:val="center" w:pos="4680" w:leader="none"/>
              <w:tab w:val="right" w:pos="9360" w:leader="none"/>
            </w:tabs>
            <w:spacing w:before="0" w:after="160"/>
            <w:jc w:val="center"/>
            <w:rPr/>
          </w:pPr>
          <w:r>
            <w:rPr/>
            <w:fldChar w:fldCharType="begin"/>
          </w:r>
          <w:r>
            <w:rPr/>
            <w:instrText> PAGE </w:instrText>
          </w:r>
          <w:r>
            <w:rPr/>
            <w:fldChar w:fldCharType="separate"/>
          </w:r>
          <w:r>
            <w:rPr/>
            <w:t>22</w:t>
          </w:r>
          <w:r>
            <w:rPr/>
            <w:fldChar w:fldCharType="end"/>
          </w:r>
        </w:p>
      </w:tc>
      <w:tc>
        <w:tcPr>
          <w:tcW w:w="3018" w:type="dxa"/>
          <w:tcBorders/>
          <w:shd w:fill="auto" w:val="clear"/>
          <w:vAlign w:val="center"/>
        </w:tcPr>
        <w:p>
          <w:pPr>
            <w:pStyle w:val="Normal"/>
            <w:tabs>
              <w:tab w:val="clear" w:pos="720"/>
              <w:tab w:val="center" w:pos="4153" w:leader="none"/>
              <w:tab w:val="right" w:pos="8306" w:leader="none"/>
            </w:tabs>
            <w:spacing w:before="0" w:after="160"/>
            <w:jc w:val="right"/>
            <w:rPr>
              <w:sz w:val="24"/>
              <w:szCs w:val="24"/>
            </w:rPr>
          </w:pPr>
          <w:r>
            <w:rPr>
              <w:sz w:val="24"/>
              <w:szCs w:val="24"/>
            </w:rPr>
          </w:r>
        </w:p>
      </w:tc>
    </w:tr>
  </w:tbl>
  <w:p>
    <w:pPr>
      <w:pStyle w:val="Normal"/>
      <w:keepNext w:val="false"/>
      <w:keepLines w:val="false"/>
      <w:widowControl/>
      <w:shd w:val="clear" w:fill="auto"/>
      <w:tabs>
        <w:tab w:val="clear" w:pos="720"/>
        <w:tab w:val="center" w:pos="4677" w:leader="none"/>
        <w:tab w:val="right" w:pos="9355" w:leader="none"/>
      </w:tabs>
      <w:spacing w:lineRule="auto" w:line="24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vertAlign w:val="baseline"/>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1077" w:hanging="360"/>
      </w:pPr>
      <w:rPr>
        <w:rFonts w:ascii="Noto Sans Symbols" w:hAnsi="Noto Sans Symbols" w:cs="Noto Sans Symbols" w:hint="default"/>
        <w:sz w:val="22"/>
        <w:b w:val="false"/>
        <w:rFonts w:cs="Noto Sans Symbols"/>
      </w:rPr>
    </w:lvl>
    <w:lvl w:ilvl="1">
      <w:start w:val="1"/>
      <w:numFmt w:val="bullet"/>
      <w:lvlText w:val="o"/>
      <w:lvlJc w:val="left"/>
      <w:pPr>
        <w:ind w:left="1797" w:hanging="360"/>
      </w:pPr>
      <w:rPr>
        <w:rFonts w:ascii="Courier New" w:hAnsi="Courier New" w:cs="Courier New" w:hint="default"/>
        <w:rFonts w:cs="Courier New"/>
      </w:rPr>
    </w:lvl>
    <w:lvl w:ilvl="2">
      <w:start w:val="1"/>
      <w:numFmt w:val="bullet"/>
      <w:lvlText w:val="▪"/>
      <w:lvlJc w:val="left"/>
      <w:pPr>
        <w:ind w:left="2517" w:hanging="360"/>
      </w:pPr>
      <w:rPr>
        <w:rFonts w:ascii="Noto Sans Symbols" w:hAnsi="Noto Sans Symbols" w:cs="Noto Sans Symbols" w:hint="default"/>
        <w:rFonts w:cs="Noto Sans Symbols"/>
      </w:rPr>
    </w:lvl>
    <w:lvl w:ilvl="3">
      <w:start w:val="1"/>
      <w:numFmt w:val="bullet"/>
      <w:lvlText w:val="●"/>
      <w:lvlJc w:val="left"/>
      <w:pPr>
        <w:ind w:left="3237" w:hanging="360"/>
      </w:pPr>
      <w:rPr>
        <w:rFonts w:ascii="Noto Sans Symbols" w:hAnsi="Noto Sans Symbols" w:cs="Noto Sans Symbols" w:hint="default"/>
        <w:rFonts w:cs="Noto Sans Symbols"/>
      </w:rPr>
    </w:lvl>
    <w:lvl w:ilvl="4">
      <w:start w:val="1"/>
      <w:numFmt w:val="bullet"/>
      <w:lvlText w:val="o"/>
      <w:lvlJc w:val="left"/>
      <w:pPr>
        <w:ind w:left="3957" w:hanging="360"/>
      </w:pPr>
      <w:rPr>
        <w:rFonts w:ascii="Courier New" w:hAnsi="Courier New" w:cs="Courier New" w:hint="default"/>
        <w:rFonts w:cs="Courier New"/>
      </w:rPr>
    </w:lvl>
    <w:lvl w:ilvl="5">
      <w:start w:val="1"/>
      <w:numFmt w:val="bullet"/>
      <w:lvlText w:val="▪"/>
      <w:lvlJc w:val="left"/>
      <w:pPr>
        <w:ind w:left="4677" w:hanging="360"/>
      </w:pPr>
      <w:rPr>
        <w:rFonts w:ascii="Noto Sans Symbols" w:hAnsi="Noto Sans Symbols" w:cs="Noto Sans Symbols" w:hint="default"/>
        <w:rFonts w:cs="Noto Sans Symbols"/>
      </w:rPr>
    </w:lvl>
    <w:lvl w:ilvl="6">
      <w:start w:val="1"/>
      <w:numFmt w:val="bullet"/>
      <w:lvlText w:val="●"/>
      <w:lvlJc w:val="left"/>
      <w:pPr>
        <w:ind w:left="5397" w:hanging="360"/>
      </w:pPr>
      <w:rPr>
        <w:rFonts w:ascii="Noto Sans Symbols" w:hAnsi="Noto Sans Symbols" w:cs="Noto Sans Symbols" w:hint="default"/>
        <w:rFonts w:cs="Noto Sans Symbols"/>
      </w:rPr>
    </w:lvl>
    <w:lvl w:ilvl="7">
      <w:start w:val="1"/>
      <w:numFmt w:val="bullet"/>
      <w:lvlText w:val="o"/>
      <w:lvlJc w:val="left"/>
      <w:pPr>
        <w:ind w:left="6117" w:hanging="360"/>
      </w:pPr>
      <w:rPr>
        <w:rFonts w:ascii="Courier New" w:hAnsi="Courier New" w:cs="Courier New" w:hint="default"/>
        <w:rFonts w:cs="Courier New"/>
      </w:rPr>
    </w:lvl>
    <w:lvl w:ilvl="8">
      <w:start w:val="1"/>
      <w:numFmt w:val="bullet"/>
      <w:lvlText w:val="▪"/>
      <w:lvlJc w:val="left"/>
      <w:pPr>
        <w:ind w:left="6837" w:hanging="360"/>
      </w:pPr>
      <w:rPr>
        <w:rFonts w:ascii="Noto Sans Symbols" w:hAnsi="Noto Sans Symbols" w:cs="Noto Sans Symbols" w:hint="default"/>
        <w:rFonts w:cs="Noto Sans Symbols"/>
      </w:rPr>
    </w:lvl>
  </w:abstractNum>
  <w:abstractNum w:abstractNumI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lvl w:ilvl="0">
      <w:start w:val="1"/>
      <w:numFmt w:val="lowerLetter"/>
      <w:lvlText w:val="%1)"/>
      <w:lvlJc w:val="left"/>
      <w:pPr>
        <w:ind w:left="900" w:hanging="360"/>
      </w:pPr>
    </w:lvl>
    <w:lvl w:ilvl="1">
      <w:start w:val="1"/>
      <w:numFmt w:val="lowerLetter"/>
      <w:lvlText w:val="%2."/>
      <w:lvlJc w:val="left"/>
      <w:pPr>
        <w:ind w:left="1620" w:hanging="360"/>
      </w:pPr>
    </w:lvl>
    <w:lvl w:ilvl="2">
      <w:start w:val="1"/>
      <w:numFmt w:val="lowerRoman"/>
      <w:lvlText w:val="%3."/>
      <w:lvlJc w:val="right"/>
      <w:pPr>
        <w:ind w:left="2340" w:hanging="180"/>
      </w:pPr>
    </w:lvl>
    <w:lvl w:ilvl="3">
      <w:start w:val="1"/>
      <w:numFmt w:val="decimal"/>
      <w:lvlText w:val="%4."/>
      <w:lvlJc w:val="left"/>
      <w:pPr>
        <w:ind w:left="3060" w:hanging="360"/>
      </w:pPr>
    </w:lvl>
    <w:lvl w:ilvl="4">
      <w:start w:val="1"/>
      <w:numFmt w:val="lowerLetter"/>
      <w:lvlText w:val="%5."/>
      <w:lvlJc w:val="left"/>
      <w:pPr>
        <w:ind w:left="3780" w:hanging="360"/>
      </w:pPr>
    </w:lvl>
    <w:lvl w:ilvl="5">
      <w:start w:val="1"/>
      <w:numFmt w:val="lowerRoman"/>
      <w:lvlText w:val="%6."/>
      <w:lvlJc w:val="right"/>
      <w:pPr>
        <w:ind w:left="4500" w:hanging="180"/>
      </w:pPr>
    </w:lvl>
    <w:lvl w:ilvl="6">
      <w:start w:val="1"/>
      <w:numFmt w:val="decimal"/>
      <w:lvlText w:val="%7."/>
      <w:lvlJc w:val="left"/>
      <w:pPr>
        <w:ind w:left="5220" w:hanging="360"/>
      </w:pPr>
    </w:lvl>
    <w:lvl w:ilvl="7">
      <w:start w:val="1"/>
      <w:numFmt w:val="lowerLetter"/>
      <w:lvlText w:val="%8."/>
      <w:lvlJc w:val="left"/>
      <w:pPr>
        <w:ind w:left="5940" w:hanging="360"/>
      </w:pPr>
    </w:lvl>
    <w:lvl w:ilvl="8">
      <w:start w:val="1"/>
      <w:numFmt w:val="lowerRoman"/>
      <w:lvlText w:val="%9."/>
      <w:lvlJc w:val="right"/>
      <w:pPr>
        <w:ind w:left="6660" w:hanging="180"/>
      </w:pPr>
    </w:lvl>
  </w:abstractNum>
  <w:abstractNum w:abstractNumId="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5">
    <w:lvl w:ilvl="0">
      <w:start w:val="1"/>
      <w:numFmt w:val="decimal"/>
      <w:lvlText w:val="%1."/>
      <w:lvlJc w:val="left"/>
      <w:pPr>
        <w:ind w:left="360" w:hanging="360"/>
      </w:pPr>
      <w:rPr>
        <w:sz w:val="22"/>
        <w:b w:val="false"/>
        <w:rFonts w:ascii="Times New Roman" w:hAnsi="Times New Roman"/>
      </w:rPr>
    </w:lvl>
    <w:lvl w:ilvl="1">
      <w:start w:val="1"/>
      <w:numFmt w:val="decimal"/>
      <w:lvlText w:val="%1.%2."/>
      <w:lvlJc w:val="left"/>
      <w:pPr>
        <w:ind w:left="6385" w:hanging="432"/>
      </w:pPr>
      <w:rPr>
        <w:sz w:val="22"/>
        <w:b w:val="false"/>
        <w:rFonts w:ascii="Times New Roman" w:hAnsi="Times New Roman"/>
      </w:rPr>
    </w:lvl>
    <w:lvl w:ilvl="2">
      <w:start w:val="1"/>
      <w:numFmt w:val="decimal"/>
      <w:lvlText w:val="%1.%2.%3."/>
      <w:lvlJc w:val="left"/>
      <w:pPr>
        <w:ind w:left="504" w:hanging="504"/>
      </w:pPr>
    </w:lvl>
    <w:lvl w:ilvl="3">
      <w:start w:val="1"/>
      <w:numFmt w:val="decimal"/>
      <w:lvlText w:val="(%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lvl w:ilvl="0">
      <w:start w:val="1"/>
      <w:numFmt w:val="bullet"/>
      <w:lvlText w:val="●"/>
      <w:lvlJc w:val="left"/>
      <w:pPr>
        <w:ind w:left="1077" w:hanging="360"/>
      </w:pPr>
      <w:rPr>
        <w:rFonts w:ascii="Noto Sans Symbols" w:hAnsi="Noto Sans Symbols" w:cs="Noto Sans Symbols" w:hint="default"/>
        <w:sz w:val="22"/>
        <w:b w:val="false"/>
        <w:rFonts w:cs="Noto Sans Symbols"/>
      </w:rPr>
    </w:lvl>
    <w:lvl w:ilvl="1">
      <w:start w:val="1"/>
      <w:numFmt w:val="bullet"/>
      <w:lvlText w:val="o"/>
      <w:lvlJc w:val="left"/>
      <w:pPr>
        <w:ind w:left="1797" w:hanging="360"/>
      </w:pPr>
      <w:rPr>
        <w:rFonts w:ascii="Courier New" w:hAnsi="Courier New" w:cs="Courier New" w:hint="default"/>
        <w:rFonts w:cs="Courier New"/>
      </w:rPr>
    </w:lvl>
    <w:lvl w:ilvl="2">
      <w:start w:val="1"/>
      <w:numFmt w:val="bullet"/>
      <w:lvlText w:val="▪"/>
      <w:lvlJc w:val="left"/>
      <w:pPr>
        <w:ind w:left="2517" w:hanging="360"/>
      </w:pPr>
      <w:rPr>
        <w:rFonts w:ascii="Noto Sans Symbols" w:hAnsi="Noto Sans Symbols" w:cs="Noto Sans Symbols" w:hint="default"/>
        <w:rFonts w:cs="Noto Sans Symbols"/>
      </w:rPr>
    </w:lvl>
    <w:lvl w:ilvl="3">
      <w:start w:val="1"/>
      <w:numFmt w:val="bullet"/>
      <w:lvlText w:val="●"/>
      <w:lvlJc w:val="left"/>
      <w:pPr>
        <w:ind w:left="3237" w:hanging="360"/>
      </w:pPr>
      <w:rPr>
        <w:rFonts w:ascii="Noto Sans Symbols" w:hAnsi="Noto Sans Symbols" w:cs="Noto Sans Symbols" w:hint="default"/>
        <w:rFonts w:cs="Noto Sans Symbols"/>
      </w:rPr>
    </w:lvl>
    <w:lvl w:ilvl="4">
      <w:start w:val="1"/>
      <w:numFmt w:val="bullet"/>
      <w:lvlText w:val="o"/>
      <w:lvlJc w:val="left"/>
      <w:pPr>
        <w:ind w:left="3957" w:hanging="360"/>
      </w:pPr>
      <w:rPr>
        <w:rFonts w:ascii="Courier New" w:hAnsi="Courier New" w:cs="Courier New" w:hint="default"/>
        <w:rFonts w:cs="Courier New"/>
      </w:rPr>
    </w:lvl>
    <w:lvl w:ilvl="5">
      <w:start w:val="1"/>
      <w:numFmt w:val="bullet"/>
      <w:lvlText w:val="▪"/>
      <w:lvlJc w:val="left"/>
      <w:pPr>
        <w:ind w:left="4677" w:hanging="360"/>
      </w:pPr>
      <w:rPr>
        <w:rFonts w:ascii="Noto Sans Symbols" w:hAnsi="Noto Sans Symbols" w:cs="Noto Sans Symbols" w:hint="default"/>
        <w:rFonts w:cs="Noto Sans Symbols"/>
      </w:rPr>
    </w:lvl>
    <w:lvl w:ilvl="6">
      <w:start w:val="1"/>
      <w:numFmt w:val="bullet"/>
      <w:lvlText w:val="●"/>
      <w:lvlJc w:val="left"/>
      <w:pPr>
        <w:ind w:left="5397" w:hanging="360"/>
      </w:pPr>
      <w:rPr>
        <w:rFonts w:ascii="Noto Sans Symbols" w:hAnsi="Noto Sans Symbols" w:cs="Noto Sans Symbols" w:hint="default"/>
        <w:rFonts w:cs="Noto Sans Symbols"/>
      </w:rPr>
    </w:lvl>
    <w:lvl w:ilvl="7">
      <w:start w:val="1"/>
      <w:numFmt w:val="bullet"/>
      <w:lvlText w:val="o"/>
      <w:lvlJc w:val="left"/>
      <w:pPr>
        <w:ind w:left="6117" w:hanging="360"/>
      </w:pPr>
      <w:rPr>
        <w:rFonts w:ascii="Courier New" w:hAnsi="Courier New" w:cs="Courier New" w:hint="default"/>
        <w:rFonts w:cs="Courier New"/>
      </w:rPr>
    </w:lvl>
    <w:lvl w:ilvl="8">
      <w:start w:val="1"/>
      <w:numFmt w:val="bullet"/>
      <w:lvlText w:val="▪"/>
      <w:lvlJc w:val="left"/>
      <w:pPr>
        <w:ind w:left="6837" w:hanging="360"/>
      </w:pPr>
      <w:rPr>
        <w:rFonts w:ascii="Noto Sans Symbols" w:hAnsi="Noto Sans Symbols" w:cs="Noto Sans Symbols" w:hint="default"/>
        <w:rFonts w:cs="Noto Sans Symbols"/>
      </w:rPr>
    </w:lvl>
  </w:abstractNum>
  <w:abstractNum w:abstractNumId="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200"/>
  <w:defaultTabStop w:val="72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SimSun" w:cs="Arial"/>
        <w:szCs w:val="22"/>
        <w:lang w:val="ru-RU" w:eastAsia="zh-CN" w:bidi="hi-IN"/>
      </w:rPr>
    </w:rPrDefault>
    <w:pPrDefault>
      <w:pPr/>
    </w:pPrDefault>
  </w:docDefaults>
  <w:style w:type="paragraph" w:styleId="Normal" w:default="1">
    <w:name w:val="Normal"/>
    <w:qFormat/>
    <w:rsid w:val="00721ed1"/>
    <w:pPr>
      <w:widowControl/>
      <w:bidi w:val="0"/>
      <w:spacing w:lineRule="auto" w:line="259" w:before="0" w:after="160"/>
      <w:jc w:val="left"/>
    </w:pPr>
    <w:rPr>
      <w:rFonts w:ascii="Times New Roman" w:hAnsi="Times New Roman" w:eastAsia="NSimSun" w:cs="Arial"/>
      <w:color w:val="auto"/>
      <w:kern w:val="0"/>
      <w:sz w:val="22"/>
      <w:szCs w:val="22"/>
      <w:lang w:val="ru-RU" w:eastAsia="zh-CN" w:bidi="hi-IN"/>
    </w:rPr>
  </w:style>
  <w:style w:type="paragraph" w:styleId="Heading1">
    <w:name w:val="Heading 1"/>
    <w:basedOn w:val="Heading2"/>
    <w:next w:val="Normal"/>
    <w:link w:val="10"/>
    <w:uiPriority w:val="9"/>
    <w:qFormat/>
    <w:rsid w:val="00c7687d"/>
    <w:pPr>
      <w:outlineLvl w:val="0"/>
    </w:pPr>
    <w:rPr>
      <w:b/>
      <w:bCs/>
    </w:rPr>
  </w:style>
  <w:style w:type="paragraph" w:styleId="Heading2">
    <w:name w:val="Heading 2"/>
    <w:basedOn w:val="Heading3"/>
    <w:next w:val="Normal"/>
    <w:link w:val="21"/>
    <w:uiPriority w:val="9"/>
    <w:unhideWhenUsed/>
    <w:qFormat/>
    <w:rsid w:val="000b1be2"/>
    <w:pPr>
      <w:ind w:left="924" w:hanging="567"/>
      <w:outlineLvl w:val="1"/>
    </w:pPr>
    <w:rPr/>
  </w:style>
  <w:style w:type="paragraph" w:styleId="Heading3">
    <w:name w:val="Heading 3"/>
    <w:next w:val="Normal"/>
    <w:link w:val="30"/>
    <w:uiPriority w:val="9"/>
    <w:unhideWhenUsed/>
    <w:qFormat/>
    <w:rsid w:val="001941d8"/>
    <w:pPr>
      <w:widowControl/>
      <w:bidi w:val="0"/>
      <w:spacing w:lineRule="auto" w:line="259" w:before="0" w:after="240"/>
      <w:jc w:val="both"/>
      <w:outlineLvl w:val="2"/>
    </w:pPr>
    <w:rPr>
      <w:rFonts w:ascii="Calibri" w:hAnsi="Calibri" w:eastAsia="NSimSun" w:cs="Times New Roman"/>
      <w:color w:val="auto"/>
      <w:kern w:val="0"/>
      <w:sz w:val="22"/>
      <w:szCs w:val="22"/>
      <w:lang w:val="ru-RU" w:eastAsia="zh-CN" w:bidi="hi-IN"/>
    </w:rPr>
  </w:style>
  <w:style w:type="paragraph" w:styleId="Heading4">
    <w:name w:val="Heading 4"/>
    <w:basedOn w:val="Heading3"/>
    <w:next w:val="Normal"/>
    <w:link w:val="40"/>
    <w:uiPriority w:val="9"/>
    <w:unhideWhenUsed/>
    <w:qFormat/>
    <w:rsid w:val="006d78be"/>
    <w:pPr>
      <w:ind w:left="1775" w:hanging="851"/>
      <w:outlineLvl w:val="3"/>
    </w:pPr>
    <w:rPr/>
  </w:style>
  <w:style w:type="paragraph" w:styleId="Heading5">
    <w:name w:val="Heading 5"/>
    <w:basedOn w:val="Normal"/>
    <w:next w:val="Normal"/>
    <w:link w:val="50"/>
    <w:uiPriority w:val="9"/>
    <w:unhideWhenUsed/>
    <w:qFormat/>
    <w:rsid w:val="00855e41"/>
    <w:pPr>
      <w:keepNext w:val="true"/>
      <w:keepLines/>
      <w:jc w:val="center"/>
      <w:outlineLvl w:val="4"/>
    </w:pPr>
    <w:rPr>
      <w:rFonts w:eastAsia="" w:cs="" w:cstheme="majorBidi" w:eastAsiaTheme="majorEastAsia"/>
      <w:b/>
    </w:rPr>
  </w:style>
  <w:style w:type="paragraph" w:styleId="Heading6">
    <w:name w:val="Heading 6"/>
    <w:next w:val="LOnormal"/>
    <w:qFormat/>
    <w:pPr>
      <w:keepNext w:val="true"/>
      <w:keepLines/>
      <w:pageBreakBefore w:val="false"/>
      <w:widowControl/>
      <w:bidi w:val="0"/>
      <w:spacing w:lineRule="auto" w:line="240" w:before="200" w:after="40"/>
      <w:jc w:val="left"/>
    </w:pPr>
    <w:rPr>
      <w:rFonts w:ascii="Calibri" w:hAnsi="Calibri" w:eastAsia="NSimSun" w:cs="Arial"/>
      <w:b/>
      <w:color w:val="auto"/>
      <w:kern w:val="0"/>
      <w:sz w:val="20"/>
      <w:szCs w:val="20"/>
      <w:lang w:val="ru-RU" w:eastAsia="zh-CN" w:bidi="hi-IN"/>
    </w:rPr>
  </w:style>
  <w:style w:type="character" w:styleId="DefaultParagraphFont" w:default="1">
    <w:name w:val="Default Paragraph Font"/>
    <w:uiPriority w:val="1"/>
    <w:semiHidden/>
    <w:unhideWhenUsed/>
    <w:qFormat/>
    <w:rPr/>
  </w:style>
  <w:style w:type="character" w:styleId="3" w:customStyle="1">
    <w:name w:val="Заголовок 3 Знак"/>
    <w:basedOn w:val="DefaultParagraphFont"/>
    <w:link w:val="3"/>
    <w:uiPriority w:val="9"/>
    <w:qFormat/>
    <w:rsid w:val="001941d8"/>
    <w:rPr>
      <w:rFonts w:ascii="Times New Roman" w:hAnsi="Times New Roman" w:cs="Times New Roman"/>
    </w:rPr>
  </w:style>
  <w:style w:type="character" w:styleId="2" w:customStyle="1">
    <w:name w:val="Заголовок 2 Знак"/>
    <w:basedOn w:val="DefaultParagraphFont"/>
    <w:link w:val="20"/>
    <w:uiPriority w:val="9"/>
    <w:qFormat/>
    <w:rsid w:val="000b1be2"/>
    <w:rPr>
      <w:rFonts w:ascii="Times New Roman" w:hAnsi="Times New Roman" w:cs="Times New Roman"/>
    </w:rPr>
  </w:style>
  <w:style w:type="character" w:styleId="1" w:customStyle="1">
    <w:name w:val="Заголовок 1 Знак"/>
    <w:basedOn w:val="DefaultParagraphFont"/>
    <w:link w:val="1"/>
    <w:uiPriority w:val="9"/>
    <w:qFormat/>
    <w:rsid w:val="00c7687d"/>
    <w:rPr>
      <w:rFonts w:ascii="Times New Roman" w:hAnsi="Times New Roman" w:cs="Times New Roman"/>
      <w:b/>
      <w:bCs/>
    </w:rPr>
  </w:style>
  <w:style w:type="character" w:styleId="4" w:customStyle="1">
    <w:name w:val="Заголовок 4 Знак"/>
    <w:basedOn w:val="DefaultParagraphFont"/>
    <w:link w:val="4"/>
    <w:uiPriority w:val="9"/>
    <w:qFormat/>
    <w:rsid w:val="006d78be"/>
    <w:rPr>
      <w:rFonts w:ascii="Times New Roman" w:hAnsi="Times New Roman" w:cs="Times New Roman"/>
    </w:rPr>
  </w:style>
  <w:style w:type="character" w:styleId="5" w:customStyle="1">
    <w:name w:val="Заголовок 5 Знак"/>
    <w:basedOn w:val="DefaultParagraphFont"/>
    <w:link w:val="5"/>
    <w:uiPriority w:val="9"/>
    <w:qFormat/>
    <w:rsid w:val="00855e41"/>
    <w:rPr>
      <w:rFonts w:ascii="Times New Roman" w:hAnsi="Times New Roman" w:eastAsia="" w:cs="" w:cstheme="majorBidi" w:eastAsiaTheme="majorEastAsia"/>
      <w:b/>
    </w:rPr>
  </w:style>
  <w:style w:type="character" w:styleId="Style8" w:customStyle="1">
    <w:name w:val="Верхний колонтитул Знак"/>
    <w:basedOn w:val="DefaultParagraphFont"/>
    <w:link w:val="a5"/>
    <w:uiPriority w:val="99"/>
    <w:qFormat/>
    <w:rsid w:val="001d41df"/>
    <w:rPr/>
  </w:style>
  <w:style w:type="character" w:styleId="Style9" w:customStyle="1">
    <w:name w:val="Нижний колонтитул Знак"/>
    <w:basedOn w:val="DefaultParagraphFont"/>
    <w:link w:val="a7"/>
    <w:uiPriority w:val="99"/>
    <w:qFormat/>
    <w:rsid w:val="001d41df"/>
    <w:rPr/>
  </w:style>
  <w:style w:type="character" w:styleId="Style10" w:customStyle="1">
    <w:name w:val="Текст выноски Знак"/>
    <w:basedOn w:val="DefaultParagraphFont"/>
    <w:link w:val="aa"/>
    <w:uiPriority w:val="99"/>
    <w:semiHidden/>
    <w:qFormat/>
    <w:rsid w:val="00f85e78"/>
    <w:rPr>
      <w:rFonts w:ascii="Segoe UI" w:hAnsi="Segoe UI" w:cs="Segoe UI"/>
      <w:sz w:val="18"/>
      <w:szCs w:val="18"/>
    </w:rPr>
  </w:style>
  <w:style w:type="character" w:styleId="InternetLink">
    <w:name w:val="Internet Link"/>
    <w:basedOn w:val="DefaultParagraphFont"/>
    <w:uiPriority w:val="99"/>
    <w:unhideWhenUsed/>
    <w:rsid w:val="00881544"/>
    <w:rPr>
      <w:color w:val="0563C1" w:themeColor="hyperlink"/>
      <w:u w:val="single"/>
    </w:rPr>
  </w:style>
  <w:style w:type="character" w:styleId="Style11" w:customStyle="1">
    <w:name w:val="Основной текст с отступом Знак"/>
    <w:basedOn w:val="DefaultParagraphFont"/>
    <w:link w:val="a"/>
    <w:qFormat/>
    <w:rsid w:val="00dc2785"/>
    <w:rPr>
      <w:rFonts w:ascii="Times New Roman" w:hAnsi="Times New Roman" w:eastAsia="STZhongsong" w:cs="Times New Roman"/>
      <w:szCs w:val="20"/>
      <w:lang w:val="en-GB" w:eastAsia="zh-CN"/>
    </w:rPr>
  </w:style>
  <w:style w:type="character" w:styleId="21" w:customStyle="1">
    <w:name w:val="Основной текст с отступом 2 Знак"/>
    <w:basedOn w:val="DefaultParagraphFont"/>
    <w:link w:val="2"/>
    <w:qFormat/>
    <w:rsid w:val="00dc2785"/>
    <w:rPr>
      <w:rFonts w:ascii="Times New Roman" w:hAnsi="Times New Roman" w:eastAsia="STZhongsong" w:cs="Times New Roman"/>
      <w:szCs w:val="20"/>
      <w:lang w:val="en-GB" w:eastAsia="zh-CN"/>
    </w:rPr>
  </w:style>
  <w:style w:type="character" w:styleId="Style12" w:customStyle="1">
    <w:name w:val="Основной текст Знак"/>
    <w:basedOn w:val="DefaultParagraphFont"/>
    <w:link w:val="af"/>
    <w:uiPriority w:val="99"/>
    <w:semiHidden/>
    <w:qFormat/>
    <w:rsid w:val="00a8483d"/>
    <w:rPr>
      <w:rFonts w:ascii="Times New Roman" w:hAnsi="Times New Roman"/>
    </w:rPr>
  </w:style>
  <w:style w:type="character" w:styleId="Annotationreference">
    <w:name w:val="annotation reference"/>
    <w:basedOn w:val="DefaultParagraphFont"/>
    <w:uiPriority w:val="99"/>
    <w:semiHidden/>
    <w:unhideWhenUsed/>
    <w:qFormat/>
    <w:rsid w:val="003545f2"/>
    <w:rPr>
      <w:sz w:val="16"/>
      <w:szCs w:val="16"/>
    </w:rPr>
  </w:style>
  <w:style w:type="character" w:styleId="Style13" w:customStyle="1">
    <w:name w:val="Текст примечания Знак"/>
    <w:basedOn w:val="DefaultParagraphFont"/>
    <w:link w:val="af2"/>
    <w:uiPriority w:val="99"/>
    <w:qFormat/>
    <w:rsid w:val="003545f2"/>
    <w:rPr>
      <w:rFonts w:ascii="Times New Roman" w:hAnsi="Times New Roman"/>
      <w:sz w:val="20"/>
      <w:szCs w:val="20"/>
    </w:rPr>
  </w:style>
  <w:style w:type="character" w:styleId="Style14" w:customStyle="1">
    <w:name w:val="Тема примечания Знак"/>
    <w:basedOn w:val="Style13"/>
    <w:link w:val="af4"/>
    <w:uiPriority w:val="99"/>
    <w:semiHidden/>
    <w:qFormat/>
    <w:rsid w:val="003545f2"/>
    <w:rPr>
      <w:rFonts w:ascii="Times New Roman" w:hAnsi="Times New Roman"/>
      <w:b/>
      <w:bCs/>
      <w:sz w:val="20"/>
      <w:szCs w:val="20"/>
    </w:rPr>
  </w:style>
  <w:style w:type="character" w:styleId="11" w:customStyle="1">
    <w:name w:val="Неразрешенное упоминание1"/>
    <w:basedOn w:val="DefaultParagraphFont"/>
    <w:uiPriority w:val="99"/>
    <w:semiHidden/>
    <w:unhideWhenUsed/>
    <w:qFormat/>
    <w:rsid w:val="00ff5eb4"/>
    <w:rPr>
      <w:color w:val="605E5C"/>
      <w:shd w:fill="E1DFDD" w:val="clear"/>
    </w:rPr>
  </w:style>
  <w:style w:type="character" w:styleId="FollowedHyperlink">
    <w:name w:val="FollowedHyperlink"/>
    <w:basedOn w:val="DefaultParagraphFont"/>
    <w:uiPriority w:val="99"/>
    <w:semiHidden/>
    <w:unhideWhenUsed/>
    <w:qFormat/>
    <w:rsid w:val="001b7adf"/>
    <w:rPr>
      <w:color w:val="954F72" w:themeColor="followedHyperlink"/>
      <w:u w:val="single"/>
    </w:rPr>
  </w:style>
  <w:style w:type="character" w:styleId="ListLabel1">
    <w:name w:val="ListLabel 1"/>
    <w:qFormat/>
    <w:rPr>
      <w:rFonts w:ascii="Times New Roman" w:hAnsi="Times New Roman" w:eastAsia="Noto Sans Symbols" w:cs="Noto Sans Symbols"/>
      <w:b w:val="false"/>
      <w:sz w:val="22"/>
    </w:rPr>
  </w:style>
  <w:style w:type="character" w:styleId="ListLabel2">
    <w:name w:val="ListLabel 2"/>
    <w:qFormat/>
    <w:rPr>
      <w:rFonts w:eastAsia="Courier New" w:cs="Courier New"/>
    </w:rPr>
  </w:style>
  <w:style w:type="character" w:styleId="ListLabel3">
    <w:name w:val="ListLabel 3"/>
    <w:qFormat/>
    <w:rPr>
      <w:rFonts w:eastAsia="Noto Sans Symbols" w:cs="Noto Sans Symbols"/>
    </w:rPr>
  </w:style>
  <w:style w:type="character" w:styleId="ListLabel4">
    <w:name w:val="ListLabel 4"/>
    <w:qFormat/>
    <w:rPr>
      <w:rFonts w:eastAsia="Noto Sans Symbols" w:cs="Noto Sans Symbols"/>
    </w:rPr>
  </w:style>
  <w:style w:type="character" w:styleId="ListLabel5">
    <w:name w:val="ListLabel 5"/>
    <w:qFormat/>
    <w:rPr>
      <w:rFonts w:eastAsia="Courier New" w:cs="Courier New"/>
    </w:rPr>
  </w:style>
  <w:style w:type="character" w:styleId="ListLabel6">
    <w:name w:val="ListLabel 6"/>
    <w:qFormat/>
    <w:rPr>
      <w:rFonts w:eastAsia="Noto Sans Symbols" w:cs="Noto Sans Symbols"/>
    </w:rPr>
  </w:style>
  <w:style w:type="character" w:styleId="ListLabel7">
    <w:name w:val="ListLabel 7"/>
    <w:qFormat/>
    <w:rPr>
      <w:rFonts w:eastAsia="Noto Sans Symbols" w:cs="Noto Sans Symbols"/>
    </w:rPr>
  </w:style>
  <w:style w:type="character" w:styleId="ListLabel8">
    <w:name w:val="ListLabel 8"/>
    <w:qFormat/>
    <w:rPr>
      <w:rFonts w:eastAsia="Courier New" w:cs="Courier New"/>
    </w:rPr>
  </w:style>
  <w:style w:type="character" w:styleId="ListLabel9">
    <w:name w:val="ListLabel 9"/>
    <w:qFormat/>
    <w:rPr>
      <w:rFonts w:eastAsia="Noto Sans Symbols" w:cs="Noto Sans Symbols"/>
    </w:rPr>
  </w:style>
  <w:style w:type="character" w:styleId="ListLabel10">
    <w:name w:val="ListLabel 10"/>
    <w:qFormat/>
    <w:rPr>
      <w:rFonts w:ascii="Times New Roman" w:hAnsi="Times New Roman"/>
      <w:b w:val="false"/>
      <w:sz w:val="22"/>
    </w:rPr>
  </w:style>
  <w:style w:type="character" w:styleId="ListLabel11">
    <w:name w:val="ListLabel 11"/>
    <w:qFormat/>
    <w:rPr>
      <w:rFonts w:ascii="Times New Roman" w:hAnsi="Times New Roman"/>
      <w:b w:val="false"/>
      <w:sz w:val="22"/>
    </w:rPr>
  </w:style>
  <w:style w:type="character" w:styleId="ListLabel12">
    <w:name w:val="ListLabel 12"/>
    <w:qFormat/>
    <w:rPr>
      <w:rFonts w:ascii="Times New Roman" w:hAnsi="Times New Roman" w:eastAsia="Noto Sans Symbols" w:cs="Noto Sans Symbols"/>
      <w:b w:val="false"/>
      <w:sz w:val="22"/>
    </w:rPr>
  </w:style>
  <w:style w:type="character" w:styleId="ListLabel13">
    <w:name w:val="ListLabel 13"/>
    <w:qFormat/>
    <w:rPr>
      <w:rFonts w:eastAsia="Courier New" w:cs="Courier New"/>
    </w:rPr>
  </w:style>
  <w:style w:type="character" w:styleId="ListLabel14">
    <w:name w:val="ListLabel 14"/>
    <w:qFormat/>
    <w:rPr>
      <w:rFonts w:eastAsia="Noto Sans Symbols" w:cs="Noto Sans Symbols"/>
    </w:rPr>
  </w:style>
  <w:style w:type="character" w:styleId="ListLabel15">
    <w:name w:val="ListLabel 15"/>
    <w:qFormat/>
    <w:rPr>
      <w:rFonts w:eastAsia="Noto Sans Symbols" w:cs="Noto Sans Symbols"/>
    </w:rPr>
  </w:style>
  <w:style w:type="character" w:styleId="ListLabel16">
    <w:name w:val="ListLabel 16"/>
    <w:qFormat/>
    <w:rPr>
      <w:rFonts w:eastAsia="Courier New" w:cs="Courier New"/>
    </w:rPr>
  </w:style>
  <w:style w:type="character" w:styleId="ListLabel17">
    <w:name w:val="ListLabel 17"/>
    <w:qFormat/>
    <w:rPr>
      <w:rFonts w:eastAsia="Noto Sans Symbols" w:cs="Noto Sans Symbols"/>
    </w:rPr>
  </w:style>
  <w:style w:type="character" w:styleId="ListLabel18">
    <w:name w:val="ListLabel 18"/>
    <w:qFormat/>
    <w:rPr>
      <w:rFonts w:eastAsia="Noto Sans Symbols" w:cs="Noto Sans Symbols"/>
    </w:rPr>
  </w:style>
  <w:style w:type="character" w:styleId="ListLabel19">
    <w:name w:val="ListLabel 19"/>
    <w:qFormat/>
    <w:rPr>
      <w:rFonts w:eastAsia="Courier New" w:cs="Courier New"/>
    </w:rPr>
  </w:style>
  <w:style w:type="character" w:styleId="ListLabel20">
    <w:name w:val="ListLabel 20"/>
    <w:qFormat/>
    <w:rPr>
      <w:rFonts w:eastAsia="Noto Sans Symbols" w:cs="Noto Sans Symbols"/>
    </w:rPr>
  </w:style>
  <w:style w:type="character" w:styleId="ListLabel21">
    <w:name w:val="ListLabel 21"/>
    <w:qFormat/>
    <w:rPr>
      <w:rFonts w:ascii="Times New Roman" w:hAnsi="Times New Roman" w:eastAsia="Times New Roman" w:cs="Times New Roman"/>
      <w:b w:val="false"/>
      <w:i w:val="false"/>
      <w:caps w:val="false"/>
      <w:smallCaps w:val="false"/>
      <w:strike w:val="false"/>
      <w:dstrike w:val="false"/>
      <w:color w:val="0563C1"/>
      <w:position w:val="0"/>
      <w:sz w:val="22"/>
      <w:sz w:val="22"/>
      <w:szCs w:val="22"/>
      <w:highlight w:val="white"/>
      <w:u w:val="single"/>
      <w:vertAlign w:val="baseline"/>
    </w:rPr>
  </w:style>
  <w:style w:type="character" w:styleId="ListLabel22">
    <w:name w:val="ListLabel 22"/>
    <w:qFormat/>
    <w:rPr>
      <w:rFonts w:ascii="Times New Roman" w:hAnsi="Times New Roman" w:eastAsia="Times New Roman" w:cs="Times New Roman"/>
      <w:i w:val="false"/>
      <w:caps w:val="false"/>
      <w:smallCaps w:val="false"/>
      <w:color w:val="1155CC"/>
      <w:position w:val="0"/>
      <w:sz w:val="22"/>
      <w:sz w:val="22"/>
      <w:szCs w:val="22"/>
      <w:shd w:fill="auto" w:val="clear"/>
      <w:vertAlign w:val="baseline"/>
    </w:rPr>
  </w:style>
  <w:style w:type="character" w:styleId="ListLabel23">
    <w:name w:val="ListLabel 23"/>
    <w:qFormat/>
    <w:rPr>
      <w:rFonts w:ascii="Times New Roman" w:hAnsi="Times New Roman" w:cs="Noto Sans Symbols"/>
      <w:b w:val="false"/>
      <w:sz w:val="22"/>
    </w:rPr>
  </w:style>
  <w:style w:type="character" w:styleId="ListLabel24">
    <w:name w:val="ListLabel 24"/>
    <w:qFormat/>
    <w:rPr>
      <w:rFonts w:cs="Courier New"/>
    </w:rPr>
  </w:style>
  <w:style w:type="character" w:styleId="ListLabel25">
    <w:name w:val="ListLabel 25"/>
    <w:qFormat/>
    <w:rPr>
      <w:rFonts w:cs="Noto Sans Symbols"/>
    </w:rPr>
  </w:style>
  <w:style w:type="character" w:styleId="ListLabel26">
    <w:name w:val="ListLabel 26"/>
    <w:qFormat/>
    <w:rPr>
      <w:rFonts w:cs="Noto Sans Symbols"/>
    </w:rPr>
  </w:style>
  <w:style w:type="character" w:styleId="ListLabel27">
    <w:name w:val="ListLabel 27"/>
    <w:qFormat/>
    <w:rPr>
      <w:rFonts w:cs="Courier New"/>
    </w:rPr>
  </w:style>
  <w:style w:type="character" w:styleId="ListLabel28">
    <w:name w:val="ListLabel 28"/>
    <w:qFormat/>
    <w:rPr>
      <w:rFonts w:cs="Noto Sans Symbols"/>
    </w:rPr>
  </w:style>
  <w:style w:type="character" w:styleId="ListLabel29">
    <w:name w:val="ListLabel 29"/>
    <w:qFormat/>
    <w:rPr>
      <w:rFonts w:cs="Noto Sans Symbols"/>
    </w:rPr>
  </w:style>
  <w:style w:type="character" w:styleId="ListLabel30">
    <w:name w:val="ListLabel 30"/>
    <w:qFormat/>
    <w:rPr>
      <w:rFonts w:cs="Courier New"/>
    </w:rPr>
  </w:style>
  <w:style w:type="character" w:styleId="ListLabel31">
    <w:name w:val="ListLabel 31"/>
    <w:qFormat/>
    <w:rPr>
      <w:rFonts w:cs="Noto Sans Symbols"/>
    </w:rPr>
  </w:style>
  <w:style w:type="character" w:styleId="ListLabel32">
    <w:name w:val="ListLabel 32"/>
    <w:qFormat/>
    <w:rPr>
      <w:rFonts w:ascii="Times New Roman" w:hAnsi="Times New Roman"/>
      <w:b w:val="false"/>
      <w:sz w:val="22"/>
    </w:rPr>
  </w:style>
  <w:style w:type="character" w:styleId="ListLabel33">
    <w:name w:val="ListLabel 33"/>
    <w:qFormat/>
    <w:rPr>
      <w:rFonts w:ascii="Times New Roman" w:hAnsi="Times New Roman"/>
      <w:b w:val="false"/>
      <w:sz w:val="22"/>
    </w:rPr>
  </w:style>
  <w:style w:type="character" w:styleId="ListLabel34">
    <w:name w:val="ListLabel 34"/>
    <w:qFormat/>
    <w:rPr>
      <w:rFonts w:ascii="Times New Roman" w:hAnsi="Times New Roman" w:cs="Noto Sans Symbols"/>
      <w:b w:val="false"/>
      <w:sz w:val="22"/>
    </w:rPr>
  </w:style>
  <w:style w:type="character" w:styleId="ListLabel35">
    <w:name w:val="ListLabel 35"/>
    <w:qFormat/>
    <w:rPr>
      <w:rFonts w:cs="Courier New"/>
    </w:rPr>
  </w:style>
  <w:style w:type="character" w:styleId="ListLabel36">
    <w:name w:val="ListLabel 36"/>
    <w:qFormat/>
    <w:rPr>
      <w:rFonts w:cs="Noto Sans Symbols"/>
    </w:rPr>
  </w:style>
  <w:style w:type="character" w:styleId="ListLabel37">
    <w:name w:val="ListLabel 37"/>
    <w:qFormat/>
    <w:rPr>
      <w:rFonts w:cs="Noto Sans Symbols"/>
    </w:rPr>
  </w:style>
  <w:style w:type="character" w:styleId="ListLabel38">
    <w:name w:val="ListLabel 38"/>
    <w:qFormat/>
    <w:rPr>
      <w:rFonts w:cs="Courier New"/>
    </w:rPr>
  </w:style>
  <w:style w:type="character" w:styleId="ListLabel39">
    <w:name w:val="ListLabel 39"/>
    <w:qFormat/>
    <w:rPr>
      <w:rFonts w:cs="Noto Sans Symbols"/>
    </w:rPr>
  </w:style>
  <w:style w:type="character" w:styleId="ListLabel40">
    <w:name w:val="ListLabel 40"/>
    <w:qFormat/>
    <w:rPr>
      <w:rFonts w:cs="Noto Sans Symbols"/>
    </w:rPr>
  </w:style>
  <w:style w:type="character" w:styleId="ListLabel41">
    <w:name w:val="ListLabel 41"/>
    <w:qFormat/>
    <w:rPr>
      <w:rFonts w:cs="Courier New"/>
    </w:rPr>
  </w:style>
  <w:style w:type="character" w:styleId="ListLabel42">
    <w:name w:val="ListLabel 42"/>
    <w:qFormat/>
    <w:rPr>
      <w:rFonts w:cs="Noto Sans Symbols"/>
    </w:rPr>
  </w:style>
  <w:style w:type="character" w:styleId="ListLabel43">
    <w:name w:val="ListLabel 43"/>
    <w:qFormat/>
    <w:rPr>
      <w:rFonts w:eastAsia="Times New Roman" w:cs="Times New Roman"/>
      <w:b w:val="false"/>
      <w:i w:val="false"/>
      <w:caps w:val="false"/>
      <w:smallCaps w:val="false"/>
      <w:strike w:val="false"/>
      <w:dstrike w:val="false"/>
      <w:color w:val="0563C1"/>
      <w:position w:val="0"/>
      <w:sz w:val="22"/>
      <w:sz w:val="22"/>
      <w:szCs w:val="22"/>
      <w:highlight w:val="white"/>
      <w:u w:val="single"/>
      <w:vertAlign w:val="baseline"/>
    </w:rPr>
  </w:style>
  <w:style w:type="character" w:styleId="ListLabel44">
    <w:name w:val="ListLabel 44"/>
    <w:qFormat/>
    <w:rPr>
      <w:rFonts w:eastAsia="Times New Roman" w:cs="Times New Roman"/>
      <w:i w:val="false"/>
      <w:caps w:val="false"/>
      <w:smallCaps w:val="false"/>
      <w:color w:val="1155CC"/>
      <w:position w:val="0"/>
      <w:sz w:val="22"/>
      <w:sz w:val="22"/>
      <w:szCs w:val="22"/>
      <w:shd w:fill="auto" w:val="clear"/>
      <w:vertAlign w:val="baseline"/>
    </w:rPr>
  </w:style>
  <w:style w:type="character" w:styleId="ListLabel45">
    <w:name w:val="ListLabel 45"/>
    <w:qFormat/>
    <w:rPr>
      <w:rFonts w:ascii="Times New Roman" w:hAnsi="Times New Roman" w:cs="Noto Sans Symbols"/>
      <w:b w:val="false"/>
      <w:sz w:val="22"/>
    </w:rPr>
  </w:style>
  <w:style w:type="character" w:styleId="ListLabel46">
    <w:name w:val="ListLabel 46"/>
    <w:qFormat/>
    <w:rPr>
      <w:rFonts w:cs="Courier New"/>
    </w:rPr>
  </w:style>
  <w:style w:type="character" w:styleId="ListLabel47">
    <w:name w:val="ListLabel 47"/>
    <w:qFormat/>
    <w:rPr>
      <w:rFonts w:cs="Noto Sans Symbols"/>
    </w:rPr>
  </w:style>
  <w:style w:type="character" w:styleId="ListLabel48">
    <w:name w:val="ListLabel 48"/>
    <w:qFormat/>
    <w:rPr>
      <w:rFonts w:cs="Noto Sans Symbols"/>
    </w:rPr>
  </w:style>
  <w:style w:type="character" w:styleId="ListLabel49">
    <w:name w:val="ListLabel 49"/>
    <w:qFormat/>
    <w:rPr>
      <w:rFonts w:cs="Courier New"/>
    </w:rPr>
  </w:style>
  <w:style w:type="character" w:styleId="ListLabel50">
    <w:name w:val="ListLabel 50"/>
    <w:qFormat/>
    <w:rPr>
      <w:rFonts w:cs="Noto Sans Symbols"/>
    </w:rPr>
  </w:style>
  <w:style w:type="character" w:styleId="ListLabel51">
    <w:name w:val="ListLabel 51"/>
    <w:qFormat/>
    <w:rPr>
      <w:rFonts w:cs="Noto Sans Symbols"/>
    </w:rPr>
  </w:style>
  <w:style w:type="character" w:styleId="ListLabel52">
    <w:name w:val="ListLabel 52"/>
    <w:qFormat/>
    <w:rPr>
      <w:rFonts w:cs="Courier New"/>
    </w:rPr>
  </w:style>
  <w:style w:type="character" w:styleId="ListLabel53">
    <w:name w:val="ListLabel 53"/>
    <w:qFormat/>
    <w:rPr>
      <w:rFonts w:cs="Noto Sans Symbols"/>
    </w:rPr>
  </w:style>
  <w:style w:type="character" w:styleId="ListLabel54">
    <w:name w:val="ListLabel 54"/>
    <w:qFormat/>
    <w:rPr>
      <w:rFonts w:ascii="Times New Roman" w:hAnsi="Times New Roman"/>
      <w:b w:val="false"/>
      <w:sz w:val="22"/>
    </w:rPr>
  </w:style>
  <w:style w:type="character" w:styleId="ListLabel55">
    <w:name w:val="ListLabel 55"/>
    <w:qFormat/>
    <w:rPr>
      <w:rFonts w:ascii="Times New Roman" w:hAnsi="Times New Roman"/>
      <w:b w:val="false"/>
      <w:sz w:val="22"/>
    </w:rPr>
  </w:style>
  <w:style w:type="character" w:styleId="ListLabel56">
    <w:name w:val="ListLabel 56"/>
    <w:qFormat/>
    <w:rPr>
      <w:rFonts w:ascii="Times New Roman" w:hAnsi="Times New Roman" w:cs="Noto Sans Symbols"/>
      <w:b w:val="false"/>
      <w:sz w:val="22"/>
    </w:rPr>
  </w:style>
  <w:style w:type="character" w:styleId="ListLabel57">
    <w:name w:val="ListLabel 57"/>
    <w:qFormat/>
    <w:rPr>
      <w:rFonts w:cs="Courier New"/>
    </w:rPr>
  </w:style>
  <w:style w:type="character" w:styleId="ListLabel58">
    <w:name w:val="ListLabel 58"/>
    <w:qFormat/>
    <w:rPr>
      <w:rFonts w:cs="Noto Sans Symbols"/>
    </w:rPr>
  </w:style>
  <w:style w:type="character" w:styleId="ListLabel59">
    <w:name w:val="ListLabel 59"/>
    <w:qFormat/>
    <w:rPr>
      <w:rFonts w:cs="Noto Sans Symbols"/>
    </w:rPr>
  </w:style>
  <w:style w:type="character" w:styleId="ListLabel60">
    <w:name w:val="ListLabel 60"/>
    <w:qFormat/>
    <w:rPr>
      <w:rFonts w:cs="Courier New"/>
    </w:rPr>
  </w:style>
  <w:style w:type="character" w:styleId="ListLabel61">
    <w:name w:val="ListLabel 61"/>
    <w:qFormat/>
    <w:rPr>
      <w:rFonts w:cs="Noto Sans Symbols"/>
    </w:rPr>
  </w:style>
  <w:style w:type="character" w:styleId="ListLabel62">
    <w:name w:val="ListLabel 62"/>
    <w:qFormat/>
    <w:rPr>
      <w:rFonts w:cs="Noto Sans Symbols"/>
    </w:rPr>
  </w:style>
  <w:style w:type="character" w:styleId="ListLabel63">
    <w:name w:val="ListLabel 63"/>
    <w:qFormat/>
    <w:rPr>
      <w:rFonts w:cs="Courier New"/>
    </w:rPr>
  </w:style>
  <w:style w:type="character" w:styleId="ListLabel64">
    <w:name w:val="ListLabel 64"/>
    <w:qFormat/>
    <w:rPr>
      <w:rFonts w:cs="Noto Sans Symbols"/>
    </w:rPr>
  </w:style>
  <w:style w:type="character" w:styleId="ListLabel65">
    <w:name w:val="ListLabel 65"/>
    <w:qFormat/>
    <w:rPr>
      <w:rFonts w:eastAsia="Times New Roman" w:cs="Times New Roman"/>
      <w:b w:val="false"/>
      <w:i w:val="false"/>
      <w:caps w:val="false"/>
      <w:smallCaps w:val="false"/>
      <w:strike w:val="false"/>
      <w:dstrike w:val="false"/>
      <w:color w:val="0563C1"/>
      <w:position w:val="0"/>
      <w:sz w:val="22"/>
      <w:sz w:val="22"/>
      <w:szCs w:val="22"/>
      <w:highlight w:val="white"/>
      <w:u w:val="single"/>
      <w:vertAlign w:val="baseline"/>
    </w:rPr>
  </w:style>
  <w:style w:type="character" w:styleId="ListLabel66">
    <w:name w:val="ListLabel 66"/>
    <w:qFormat/>
    <w:rPr>
      <w:rFonts w:eastAsia="Times New Roman" w:cs="Times New Roman"/>
      <w:i w:val="false"/>
      <w:caps w:val="false"/>
      <w:smallCaps w:val="false"/>
      <w:color w:val="1155CC"/>
      <w:position w:val="0"/>
      <w:sz w:val="22"/>
      <w:sz w:val="22"/>
      <w:szCs w:val="22"/>
      <w:shd w:fill="auto" w:val="clear"/>
      <w:vertAlign w:val="baseline"/>
    </w:rPr>
  </w:style>
  <w:style w:type="character" w:styleId="ListLabel67">
    <w:name w:val="ListLabel 67"/>
    <w:qFormat/>
    <w:rPr>
      <w:rFonts w:ascii="Times New Roman" w:hAnsi="Times New Roman" w:cs="Noto Sans Symbols"/>
      <w:b w:val="false"/>
      <w:sz w:val="22"/>
    </w:rPr>
  </w:style>
  <w:style w:type="character" w:styleId="ListLabel68">
    <w:name w:val="ListLabel 68"/>
    <w:qFormat/>
    <w:rPr>
      <w:rFonts w:cs="Courier New"/>
    </w:rPr>
  </w:style>
  <w:style w:type="character" w:styleId="ListLabel69">
    <w:name w:val="ListLabel 69"/>
    <w:qFormat/>
    <w:rPr>
      <w:rFonts w:cs="Noto Sans Symbols"/>
    </w:rPr>
  </w:style>
  <w:style w:type="character" w:styleId="ListLabel70">
    <w:name w:val="ListLabel 70"/>
    <w:qFormat/>
    <w:rPr>
      <w:rFonts w:cs="Noto Sans Symbols"/>
    </w:rPr>
  </w:style>
  <w:style w:type="character" w:styleId="ListLabel71">
    <w:name w:val="ListLabel 71"/>
    <w:qFormat/>
    <w:rPr>
      <w:rFonts w:cs="Courier New"/>
    </w:rPr>
  </w:style>
  <w:style w:type="character" w:styleId="ListLabel72">
    <w:name w:val="ListLabel 72"/>
    <w:qFormat/>
    <w:rPr>
      <w:rFonts w:cs="Noto Sans Symbols"/>
    </w:rPr>
  </w:style>
  <w:style w:type="character" w:styleId="ListLabel73">
    <w:name w:val="ListLabel 73"/>
    <w:qFormat/>
    <w:rPr>
      <w:rFonts w:cs="Noto Sans Symbols"/>
    </w:rPr>
  </w:style>
  <w:style w:type="character" w:styleId="ListLabel74">
    <w:name w:val="ListLabel 74"/>
    <w:qFormat/>
    <w:rPr>
      <w:rFonts w:cs="Courier New"/>
    </w:rPr>
  </w:style>
  <w:style w:type="character" w:styleId="ListLabel75">
    <w:name w:val="ListLabel 75"/>
    <w:qFormat/>
    <w:rPr>
      <w:rFonts w:cs="Noto Sans Symbols"/>
    </w:rPr>
  </w:style>
  <w:style w:type="character" w:styleId="ListLabel76">
    <w:name w:val="ListLabel 76"/>
    <w:qFormat/>
    <w:rPr>
      <w:rFonts w:ascii="Times New Roman" w:hAnsi="Times New Roman"/>
      <w:b w:val="false"/>
      <w:sz w:val="22"/>
    </w:rPr>
  </w:style>
  <w:style w:type="character" w:styleId="ListLabel77">
    <w:name w:val="ListLabel 77"/>
    <w:qFormat/>
    <w:rPr>
      <w:rFonts w:ascii="Times New Roman" w:hAnsi="Times New Roman"/>
      <w:b w:val="false"/>
      <w:sz w:val="22"/>
    </w:rPr>
  </w:style>
  <w:style w:type="character" w:styleId="ListLabel78">
    <w:name w:val="ListLabel 78"/>
    <w:qFormat/>
    <w:rPr>
      <w:rFonts w:ascii="Times New Roman" w:hAnsi="Times New Roman" w:cs="Noto Sans Symbols"/>
      <w:b w:val="false"/>
      <w:sz w:val="22"/>
    </w:rPr>
  </w:style>
  <w:style w:type="character" w:styleId="ListLabel79">
    <w:name w:val="ListLabel 79"/>
    <w:qFormat/>
    <w:rPr>
      <w:rFonts w:cs="Courier New"/>
    </w:rPr>
  </w:style>
  <w:style w:type="character" w:styleId="ListLabel80">
    <w:name w:val="ListLabel 80"/>
    <w:qFormat/>
    <w:rPr>
      <w:rFonts w:cs="Noto Sans Symbols"/>
    </w:rPr>
  </w:style>
  <w:style w:type="character" w:styleId="ListLabel81">
    <w:name w:val="ListLabel 81"/>
    <w:qFormat/>
    <w:rPr>
      <w:rFonts w:cs="Noto Sans Symbols"/>
    </w:rPr>
  </w:style>
  <w:style w:type="character" w:styleId="ListLabel82">
    <w:name w:val="ListLabel 82"/>
    <w:qFormat/>
    <w:rPr>
      <w:rFonts w:cs="Courier New"/>
    </w:rPr>
  </w:style>
  <w:style w:type="character" w:styleId="ListLabel83">
    <w:name w:val="ListLabel 83"/>
    <w:qFormat/>
    <w:rPr>
      <w:rFonts w:cs="Noto Sans Symbols"/>
    </w:rPr>
  </w:style>
  <w:style w:type="character" w:styleId="ListLabel84">
    <w:name w:val="ListLabel 84"/>
    <w:qFormat/>
    <w:rPr>
      <w:rFonts w:cs="Noto Sans Symbols"/>
    </w:rPr>
  </w:style>
  <w:style w:type="character" w:styleId="ListLabel85">
    <w:name w:val="ListLabel 85"/>
    <w:qFormat/>
    <w:rPr>
      <w:rFonts w:cs="Courier New"/>
    </w:rPr>
  </w:style>
  <w:style w:type="character" w:styleId="ListLabel86">
    <w:name w:val="ListLabel 86"/>
    <w:qFormat/>
    <w:rPr>
      <w:rFonts w:cs="Noto Sans Symbols"/>
    </w:rPr>
  </w:style>
  <w:style w:type="character" w:styleId="ListLabel87">
    <w:name w:val="ListLabel 87"/>
    <w:qFormat/>
    <w:rPr>
      <w:rFonts w:eastAsia="Times New Roman" w:cs="Times New Roman"/>
      <w:b w:val="false"/>
      <w:i w:val="false"/>
      <w:caps w:val="false"/>
      <w:smallCaps w:val="false"/>
      <w:strike w:val="false"/>
      <w:dstrike w:val="false"/>
      <w:color w:val="0563C1"/>
      <w:position w:val="0"/>
      <w:sz w:val="22"/>
      <w:sz w:val="22"/>
      <w:szCs w:val="22"/>
      <w:highlight w:val="white"/>
      <w:u w:val="single"/>
      <w:vertAlign w:val="baseline"/>
    </w:rPr>
  </w:style>
  <w:style w:type="character" w:styleId="ListLabel88">
    <w:name w:val="ListLabel 88"/>
    <w:qFormat/>
    <w:rPr>
      <w:rFonts w:eastAsia="Times New Roman" w:cs="Times New Roman"/>
      <w:i w:val="false"/>
      <w:caps w:val="false"/>
      <w:smallCaps w:val="false"/>
      <w:color w:val="1155CC"/>
      <w:position w:val="0"/>
      <w:sz w:val="22"/>
      <w:sz w:val="22"/>
      <w:szCs w:val="22"/>
      <w:shd w:fill="auto" w:val="clear"/>
      <w:vertAlign w:val="baseline"/>
    </w:rPr>
  </w:style>
  <w:style w:type="character" w:styleId="ListLabel89">
    <w:name w:val="ListLabel 89"/>
    <w:qFormat/>
    <w:rPr>
      <w:rFonts w:ascii="Times New Roman" w:hAnsi="Times New Roman" w:cs="Noto Sans Symbols"/>
      <w:b w:val="false"/>
      <w:sz w:val="22"/>
    </w:rPr>
  </w:style>
  <w:style w:type="character" w:styleId="ListLabel90">
    <w:name w:val="ListLabel 90"/>
    <w:qFormat/>
    <w:rPr>
      <w:rFonts w:cs="Courier New"/>
    </w:rPr>
  </w:style>
  <w:style w:type="character" w:styleId="ListLabel91">
    <w:name w:val="ListLabel 91"/>
    <w:qFormat/>
    <w:rPr>
      <w:rFonts w:cs="Noto Sans Symbols"/>
    </w:rPr>
  </w:style>
  <w:style w:type="character" w:styleId="ListLabel92">
    <w:name w:val="ListLabel 92"/>
    <w:qFormat/>
    <w:rPr>
      <w:rFonts w:cs="Noto Sans Symbols"/>
    </w:rPr>
  </w:style>
  <w:style w:type="character" w:styleId="ListLabel93">
    <w:name w:val="ListLabel 93"/>
    <w:qFormat/>
    <w:rPr>
      <w:rFonts w:cs="Courier New"/>
    </w:rPr>
  </w:style>
  <w:style w:type="character" w:styleId="ListLabel94">
    <w:name w:val="ListLabel 94"/>
    <w:qFormat/>
    <w:rPr>
      <w:rFonts w:cs="Noto Sans Symbols"/>
    </w:rPr>
  </w:style>
  <w:style w:type="character" w:styleId="ListLabel95">
    <w:name w:val="ListLabel 95"/>
    <w:qFormat/>
    <w:rPr>
      <w:rFonts w:cs="Noto Sans Symbols"/>
    </w:rPr>
  </w:style>
  <w:style w:type="character" w:styleId="ListLabel96">
    <w:name w:val="ListLabel 96"/>
    <w:qFormat/>
    <w:rPr>
      <w:rFonts w:cs="Courier New"/>
    </w:rPr>
  </w:style>
  <w:style w:type="character" w:styleId="ListLabel97">
    <w:name w:val="ListLabel 97"/>
    <w:qFormat/>
    <w:rPr>
      <w:rFonts w:cs="Noto Sans Symbols"/>
    </w:rPr>
  </w:style>
  <w:style w:type="character" w:styleId="ListLabel98">
    <w:name w:val="ListLabel 98"/>
    <w:qFormat/>
    <w:rPr>
      <w:rFonts w:ascii="Times New Roman" w:hAnsi="Times New Roman"/>
      <w:b w:val="false"/>
      <w:sz w:val="22"/>
    </w:rPr>
  </w:style>
  <w:style w:type="character" w:styleId="ListLabel99">
    <w:name w:val="ListLabel 99"/>
    <w:qFormat/>
    <w:rPr>
      <w:rFonts w:ascii="Times New Roman" w:hAnsi="Times New Roman"/>
      <w:b w:val="false"/>
      <w:sz w:val="22"/>
    </w:rPr>
  </w:style>
  <w:style w:type="character" w:styleId="ListLabel100">
    <w:name w:val="ListLabel 100"/>
    <w:qFormat/>
    <w:rPr>
      <w:rFonts w:ascii="Times New Roman" w:hAnsi="Times New Roman" w:cs="Noto Sans Symbols"/>
      <w:b w:val="false"/>
      <w:sz w:val="22"/>
    </w:rPr>
  </w:style>
  <w:style w:type="character" w:styleId="ListLabel101">
    <w:name w:val="ListLabel 101"/>
    <w:qFormat/>
    <w:rPr>
      <w:rFonts w:cs="Courier New"/>
    </w:rPr>
  </w:style>
  <w:style w:type="character" w:styleId="ListLabel102">
    <w:name w:val="ListLabel 102"/>
    <w:qFormat/>
    <w:rPr>
      <w:rFonts w:cs="Noto Sans Symbols"/>
    </w:rPr>
  </w:style>
  <w:style w:type="character" w:styleId="ListLabel103">
    <w:name w:val="ListLabel 103"/>
    <w:qFormat/>
    <w:rPr>
      <w:rFonts w:cs="Noto Sans Symbols"/>
    </w:rPr>
  </w:style>
  <w:style w:type="character" w:styleId="ListLabel104">
    <w:name w:val="ListLabel 104"/>
    <w:qFormat/>
    <w:rPr>
      <w:rFonts w:cs="Courier New"/>
    </w:rPr>
  </w:style>
  <w:style w:type="character" w:styleId="ListLabel105">
    <w:name w:val="ListLabel 105"/>
    <w:qFormat/>
    <w:rPr>
      <w:rFonts w:cs="Noto Sans Symbols"/>
    </w:rPr>
  </w:style>
  <w:style w:type="character" w:styleId="ListLabel106">
    <w:name w:val="ListLabel 106"/>
    <w:qFormat/>
    <w:rPr>
      <w:rFonts w:cs="Noto Sans Symbols"/>
    </w:rPr>
  </w:style>
  <w:style w:type="character" w:styleId="ListLabel107">
    <w:name w:val="ListLabel 107"/>
    <w:qFormat/>
    <w:rPr>
      <w:rFonts w:cs="Courier New"/>
    </w:rPr>
  </w:style>
  <w:style w:type="character" w:styleId="ListLabel108">
    <w:name w:val="ListLabel 108"/>
    <w:qFormat/>
    <w:rPr>
      <w:rFonts w:cs="Noto Sans Symbols"/>
    </w:rPr>
  </w:style>
  <w:style w:type="character" w:styleId="ListLabel109">
    <w:name w:val="ListLabel 109"/>
    <w:qFormat/>
    <w:rPr>
      <w:rFonts w:eastAsia="Times New Roman" w:cs="Times New Roman"/>
      <w:b w:val="false"/>
      <w:i w:val="false"/>
      <w:caps w:val="false"/>
      <w:smallCaps w:val="false"/>
      <w:strike w:val="false"/>
      <w:dstrike w:val="false"/>
      <w:color w:val="0563C1"/>
      <w:position w:val="0"/>
      <w:sz w:val="22"/>
      <w:sz w:val="22"/>
      <w:szCs w:val="22"/>
      <w:highlight w:val="white"/>
      <w:u w:val="single"/>
      <w:vertAlign w:val="baseline"/>
    </w:rPr>
  </w:style>
  <w:style w:type="character" w:styleId="ListLabel110">
    <w:name w:val="ListLabel 110"/>
    <w:qFormat/>
    <w:rPr>
      <w:rFonts w:eastAsia="Times New Roman" w:cs="Times New Roman"/>
      <w:b w:val="false"/>
      <w:i w:val="false"/>
      <w:caps w:val="false"/>
      <w:smallCaps w:val="false"/>
      <w:strike w:val="false"/>
      <w:dstrike w:val="false"/>
      <w:color w:val="1155CC"/>
      <w:position w:val="0"/>
      <w:sz w:val="22"/>
      <w:sz w:val="22"/>
      <w:szCs w:val="22"/>
      <w:u w:val="single"/>
      <w:shd w:fill="auto" w:val="clear"/>
      <w:vertAlign w:val="baseline"/>
    </w:rPr>
  </w:style>
  <w:style w:type="paragraph" w:styleId="Heading">
    <w:name w:val="Heading"/>
    <w:basedOn w:val="Normal"/>
    <w:next w:val="TextBody"/>
    <w:qFormat/>
    <w:pPr>
      <w:keepNext w:val="true"/>
      <w:spacing w:before="240" w:after="120"/>
    </w:pPr>
    <w:rPr>
      <w:rFonts w:ascii="Arial" w:hAnsi="Arial" w:eastAsia="Microsoft YaHei" w:cs="Arial"/>
      <w:sz w:val="28"/>
      <w:szCs w:val="28"/>
    </w:rPr>
  </w:style>
  <w:style w:type="paragraph" w:styleId="TextBody">
    <w:name w:val="Body Text"/>
    <w:basedOn w:val="Normal"/>
    <w:link w:val="af0"/>
    <w:uiPriority w:val="99"/>
    <w:semiHidden/>
    <w:unhideWhenUsed/>
    <w:rsid w:val="00a8483d"/>
    <w:pPr>
      <w:spacing w:before="0" w:after="12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LOnormal" w:default="1">
    <w:name w:val="LO-normal"/>
    <w:qFormat/>
    <w:pPr>
      <w:widowControl/>
      <w:bidi w:val="0"/>
      <w:spacing w:lineRule="auto" w:line="259" w:before="0" w:after="160"/>
      <w:jc w:val="left"/>
    </w:pPr>
    <w:rPr>
      <w:rFonts w:ascii="Calibri" w:hAnsi="Calibri" w:eastAsia="NSimSun" w:cs="Arial"/>
      <w:color w:val="auto"/>
      <w:kern w:val="0"/>
      <w:sz w:val="22"/>
      <w:szCs w:val="22"/>
      <w:lang w:val="ru-RU" w:eastAsia="zh-CN" w:bidi="hi-IN"/>
    </w:rPr>
  </w:style>
  <w:style w:type="paragraph" w:styleId="Title">
    <w:name w:val="Title"/>
    <w:basedOn w:val="LOnormal"/>
    <w:next w:val="LOnormal"/>
    <w:qFormat/>
    <w:pPr>
      <w:keepNext w:val="true"/>
      <w:keepLines/>
      <w:pageBreakBefore w:val="false"/>
      <w:spacing w:lineRule="auto" w:line="240" w:before="480" w:after="120"/>
    </w:pPr>
    <w:rPr>
      <w:b/>
      <w:sz w:val="72"/>
      <w:szCs w:val="72"/>
    </w:rPr>
  </w:style>
  <w:style w:type="paragraph" w:styleId="ListParagraph">
    <w:name w:val="List Paragraph"/>
    <w:basedOn w:val="Normal"/>
    <w:uiPriority w:val="34"/>
    <w:qFormat/>
    <w:rsid w:val="000c05c7"/>
    <w:pPr>
      <w:spacing w:before="0" w:after="160"/>
      <w:ind w:left="720" w:hanging="0"/>
      <w:contextualSpacing/>
    </w:pPr>
    <w:rPr/>
  </w:style>
  <w:style w:type="paragraph" w:styleId="Header">
    <w:name w:val="Header"/>
    <w:basedOn w:val="Normal"/>
    <w:link w:val="a6"/>
    <w:uiPriority w:val="99"/>
    <w:unhideWhenUsed/>
    <w:rsid w:val="001d41df"/>
    <w:pPr>
      <w:tabs>
        <w:tab w:val="clear" w:pos="720"/>
        <w:tab w:val="center" w:pos="4677" w:leader="none"/>
        <w:tab w:val="right" w:pos="9355" w:leader="none"/>
      </w:tabs>
      <w:spacing w:lineRule="auto" w:line="240" w:before="0" w:after="0"/>
    </w:pPr>
    <w:rPr/>
  </w:style>
  <w:style w:type="paragraph" w:styleId="Footer">
    <w:name w:val="Footer"/>
    <w:basedOn w:val="Normal"/>
    <w:link w:val="a8"/>
    <w:uiPriority w:val="99"/>
    <w:unhideWhenUsed/>
    <w:rsid w:val="001d41df"/>
    <w:pPr>
      <w:tabs>
        <w:tab w:val="clear" w:pos="720"/>
        <w:tab w:val="center" w:pos="4677" w:leader="none"/>
        <w:tab w:val="right" w:pos="9355" w:leader="none"/>
      </w:tabs>
      <w:spacing w:lineRule="auto" w:line="240" w:before="0" w:after="0"/>
    </w:pPr>
    <w:rPr/>
  </w:style>
  <w:style w:type="paragraph" w:styleId="BalloonText">
    <w:name w:val="Balloon Text"/>
    <w:basedOn w:val="Normal"/>
    <w:link w:val="ab"/>
    <w:uiPriority w:val="99"/>
    <w:semiHidden/>
    <w:unhideWhenUsed/>
    <w:qFormat/>
    <w:rsid w:val="00f85e78"/>
    <w:pPr>
      <w:spacing w:lineRule="auto" w:line="240" w:before="0" w:after="0"/>
    </w:pPr>
    <w:rPr>
      <w:rFonts w:ascii="Segoe UI" w:hAnsi="Segoe UI" w:cs="Segoe UI"/>
      <w:sz w:val="18"/>
      <w:szCs w:val="18"/>
    </w:rPr>
  </w:style>
  <w:style w:type="paragraph" w:styleId="Contents1">
    <w:name w:val="TOC 1"/>
    <w:basedOn w:val="Normal"/>
    <w:next w:val="Normal"/>
    <w:autoRedefine/>
    <w:uiPriority w:val="39"/>
    <w:unhideWhenUsed/>
    <w:rsid w:val="00c7687d"/>
    <w:pPr>
      <w:tabs>
        <w:tab w:val="clear" w:pos="720"/>
        <w:tab w:val="left" w:pos="567" w:leader="none"/>
        <w:tab w:val="right" w:pos="9345" w:leader="dot"/>
      </w:tabs>
      <w:spacing w:lineRule="auto" w:line="240" w:before="0" w:after="240"/>
      <w:jc w:val="both"/>
    </w:pPr>
    <w:rPr/>
  </w:style>
  <w:style w:type="paragraph" w:styleId="Contents2">
    <w:name w:val="TOC 2"/>
    <w:basedOn w:val="Normal"/>
    <w:next w:val="Normal"/>
    <w:autoRedefine/>
    <w:uiPriority w:val="39"/>
    <w:unhideWhenUsed/>
    <w:rsid w:val="00343858"/>
    <w:pPr>
      <w:spacing w:before="0" w:after="100"/>
      <w:ind w:left="220" w:hanging="0"/>
    </w:pPr>
    <w:rPr/>
  </w:style>
  <w:style w:type="paragraph" w:styleId="Contents3">
    <w:name w:val="TOC 3"/>
    <w:basedOn w:val="Normal"/>
    <w:next w:val="Normal"/>
    <w:autoRedefine/>
    <w:uiPriority w:val="39"/>
    <w:unhideWhenUsed/>
    <w:rsid w:val="00343858"/>
    <w:pPr>
      <w:spacing w:before="0" w:after="100"/>
      <w:ind w:left="440" w:hanging="0"/>
    </w:pPr>
    <w:rPr/>
  </w:style>
  <w:style w:type="paragraph" w:styleId="TextBodyIndent">
    <w:name w:val="Body Text Indent"/>
    <w:basedOn w:val="Normal"/>
    <w:link w:val="ad"/>
    <w:qFormat/>
    <w:rsid w:val="00dc2785"/>
    <w:pPr>
      <w:spacing w:lineRule="auto" w:line="240" w:before="0" w:after="240"/>
      <w:jc w:val="both"/>
    </w:pPr>
    <w:rPr>
      <w:rFonts w:eastAsia="STZhongsong" w:cs="Times New Roman"/>
      <w:szCs w:val="20"/>
      <w:lang w:val="en-GB" w:eastAsia="zh-CN"/>
    </w:rPr>
  </w:style>
  <w:style w:type="paragraph" w:styleId="BodyTextIndent2">
    <w:name w:val="Body Text Indent 2"/>
    <w:basedOn w:val="Normal"/>
    <w:link w:val="23"/>
    <w:qFormat/>
    <w:rsid w:val="00dc2785"/>
    <w:pPr>
      <w:spacing w:lineRule="auto" w:line="240" w:before="0" w:after="240"/>
      <w:jc w:val="both"/>
    </w:pPr>
    <w:rPr>
      <w:rFonts w:eastAsia="STZhongsong" w:cs="Times New Roman"/>
      <w:szCs w:val="20"/>
      <w:lang w:val="en-GB" w:eastAsia="zh-CN"/>
    </w:rPr>
  </w:style>
  <w:style w:type="paragraph" w:styleId="DefinitionNumbering2" w:customStyle="1">
    <w:name w:val="Definition Numbering 2"/>
    <w:basedOn w:val="Normal"/>
    <w:qFormat/>
    <w:rsid w:val="00dc2785"/>
    <w:pPr>
      <w:spacing w:lineRule="auto" w:line="240" w:before="0" w:after="240"/>
      <w:jc w:val="both"/>
      <w:outlineLvl w:val="1"/>
    </w:pPr>
    <w:rPr>
      <w:rFonts w:eastAsia="STZhongsong" w:cs="Times New Roman"/>
      <w:szCs w:val="20"/>
      <w:lang w:val="en-GB" w:eastAsia="zh-CN"/>
    </w:rPr>
  </w:style>
  <w:style w:type="paragraph" w:styleId="DefinitionNumbering3" w:customStyle="1">
    <w:name w:val="Definition Numbering 3"/>
    <w:basedOn w:val="Normal"/>
    <w:qFormat/>
    <w:rsid w:val="00dc2785"/>
    <w:pPr>
      <w:tabs>
        <w:tab w:val="clear" w:pos="720"/>
        <w:tab w:val="left" w:pos="3600" w:leader="none"/>
      </w:tabs>
      <w:spacing w:lineRule="auto" w:line="240" w:before="0" w:after="240"/>
      <w:ind w:left="3600" w:hanging="720"/>
      <w:jc w:val="both"/>
      <w:outlineLvl w:val="2"/>
    </w:pPr>
    <w:rPr>
      <w:rFonts w:eastAsia="STZhongsong" w:cs="Times New Roman"/>
      <w:szCs w:val="20"/>
      <w:lang w:val="en-GB" w:eastAsia="zh-CN"/>
    </w:rPr>
  </w:style>
  <w:style w:type="paragraph" w:styleId="DefinitionNumbering4" w:customStyle="1">
    <w:name w:val="Definition Numbering 4"/>
    <w:basedOn w:val="Normal"/>
    <w:qFormat/>
    <w:rsid w:val="00dc2785"/>
    <w:pPr>
      <w:tabs>
        <w:tab w:val="clear" w:pos="720"/>
        <w:tab w:val="left" w:pos="2880" w:leader="none"/>
      </w:tabs>
      <w:spacing w:lineRule="auto" w:line="240" w:before="0" w:after="240"/>
      <w:ind w:left="2880" w:hanging="1080"/>
      <w:jc w:val="both"/>
      <w:outlineLvl w:val="3"/>
    </w:pPr>
    <w:rPr>
      <w:rFonts w:eastAsia="STZhongsong" w:cs="Times New Roman"/>
      <w:szCs w:val="20"/>
      <w:lang w:val="en-GB" w:eastAsia="zh-CN"/>
    </w:rPr>
  </w:style>
  <w:style w:type="paragraph" w:styleId="DefinitionNumbering5" w:customStyle="1">
    <w:name w:val="Definition Numbering 5"/>
    <w:basedOn w:val="Normal"/>
    <w:qFormat/>
    <w:rsid w:val="00dc2785"/>
    <w:pPr>
      <w:tabs>
        <w:tab w:val="clear" w:pos="720"/>
        <w:tab w:val="left" w:pos="2880" w:leader="none"/>
      </w:tabs>
      <w:spacing w:lineRule="auto" w:line="240" w:before="0" w:after="240"/>
      <w:ind w:left="2880" w:hanging="1080"/>
      <w:jc w:val="both"/>
      <w:outlineLvl w:val="4"/>
    </w:pPr>
    <w:rPr>
      <w:rFonts w:eastAsia="STZhongsong" w:cs="Times New Roman"/>
      <w:szCs w:val="20"/>
      <w:lang w:val="en-GB" w:eastAsia="zh-CN"/>
    </w:rPr>
  </w:style>
  <w:style w:type="paragraph" w:styleId="DefinitionNumbering6" w:customStyle="1">
    <w:name w:val="Definition Numbering 6"/>
    <w:basedOn w:val="Normal"/>
    <w:qFormat/>
    <w:rsid w:val="00dc2785"/>
    <w:pPr>
      <w:tabs>
        <w:tab w:val="clear" w:pos="720"/>
        <w:tab w:val="left" w:pos="2880" w:leader="none"/>
      </w:tabs>
      <w:spacing w:lineRule="auto" w:line="240" w:before="0" w:after="240"/>
      <w:ind w:left="2880" w:hanging="1080"/>
      <w:jc w:val="both"/>
      <w:outlineLvl w:val="5"/>
    </w:pPr>
    <w:rPr>
      <w:rFonts w:eastAsia="STZhongsong" w:cs="Times New Roman"/>
      <w:szCs w:val="20"/>
      <w:lang w:val="en-GB" w:eastAsia="zh-CN"/>
    </w:rPr>
  </w:style>
  <w:style w:type="paragraph" w:styleId="DefinitionNumbering7" w:customStyle="1">
    <w:name w:val="Definition Numbering 7"/>
    <w:basedOn w:val="Normal"/>
    <w:qFormat/>
    <w:rsid w:val="00dc2785"/>
    <w:pPr>
      <w:tabs>
        <w:tab w:val="clear" w:pos="720"/>
        <w:tab w:val="left" w:pos="2880" w:leader="none"/>
      </w:tabs>
      <w:spacing w:lineRule="auto" w:line="240" w:before="0" w:after="240"/>
      <w:ind w:left="2880" w:hanging="1080"/>
      <w:jc w:val="both"/>
      <w:outlineLvl w:val="6"/>
    </w:pPr>
    <w:rPr>
      <w:rFonts w:eastAsia="STZhongsong" w:cs="Times New Roman"/>
      <w:szCs w:val="20"/>
      <w:lang w:val="en-GB" w:eastAsia="zh-CN"/>
    </w:rPr>
  </w:style>
  <w:style w:type="paragraph" w:styleId="RUSHEADING1" w:customStyle="1">
    <w:name w:val="RUS HEADING 1"/>
    <w:basedOn w:val="Normal"/>
    <w:qFormat/>
    <w:rsid w:val="00dc2785"/>
    <w:pPr>
      <w:spacing w:lineRule="auto" w:line="240" w:before="0" w:after="240"/>
      <w:jc w:val="both"/>
      <w:outlineLvl w:val="0"/>
    </w:pPr>
    <w:rPr>
      <w:rFonts w:eastAsia="STZhongsong" w:cs="Times New Roman"/>
      <w:b/>
      <w:sz w:val="20"/>
      <w:lang w:val="en-GB" w:eastAsia="ru-RU"/>
    </w:rPr>
  </w:style>
  <w:style w:type="paragraph" w:styleId="Contents4">
    <w:name w:val="TOC 4"/>
    <w:basedOn w:val="Normal"/>
    <w:next w:val="Normal"/>
    <w:autoRedefine/>
    <w:uiPriority w:val="39"/>
    <w:unhideWhenUsed/>
    <w:rsid w:val="00867255"/>
    <w:pPr>
      <w:spacing w:before="0" w:after="100"/>
      <w:ind w:left="660" w:hanging="0"/>
    </w:pPr>
    <w:rPr/>
  </w:style>
  <w:style w:type="paragraph" w:styleId="Contents5">
    <w:name w:val="TOC 5"/>
    <w:basedOn w:val="Normal"/>
    <w:next w:val="Normal"/>
    <w:autoRedefine/>
    <w:uiPriority w:val="39"/>
    <w:unhideWhenUsed/>
    <w:rsid w:val="00867255"/>
    <w:pPr>
      <w:spacing w:before="0" w:after="100"/>
      <w:ind w:left="880" w:hanging="0"/>
    </w:pPr>
    <w:rPr/>
  </w:style>
  <w:style w:type="paragraph" w:styleId="TOCHeading">
    <w:name w:val="TOC Heading"/>
    <w:basedOn w:val="Heading1"/>
    <w:next w:val="Normal"/>
    <w:uiPriority w:val="39"/>
    <w:unhideWhenUsed/>
    <w:qFormat/>
    <w:rsid w:val="00867255"/>
    <w:pPr>
      <w:keepNext w:val="true"/>
      <w:keepLines/>
      <w:spacing w:before="240" w:after="0"/>
      <w:jc w:val="left"/>
    </w:pPr>
    <w:rPr>
      <w:rFonts w:ascii="Calibri Light" w:hAnsi="Calibri Light" w:eastAsia="" w:cs="" w:asciiTheme="majorHAnsi" w:cstheme="majorBidi" w:eastAsiaTheme="majorEastAsia" w:hAnsiTheme="majorHAnsi"/>
      <w:b w:val="false"/>
      <w:bCs w:val="false"/>
      <w:color w:val="2F5496" w:themeColor="accent1" w:themeShade="bf"/>
      <w:sz w:val="32"/>
      <w:szCs w:val="32"/>
      <w:lang w:eastAsia="ru-RU"/>
    </w:rPr>
  </w:style>
  <w:style w:type="paragraph" w:styleId="Annotationtext">
    <w:name w:val="annotation text"/>
    <w:basedOn w:val="Normal"/>
    <w:link w:val="af3"/>
    <w:uiPriority w:val="99"/>
    <w:unhideWhenUsed/>
    <w:qFormat/>
    <w:rsid w:val="003545f2"/>
    <w:pPr>
      <w:spacing w:lineRule="auto" w:line="240"/>
    </w:pPr>
    <w:rPr>
      <w:sz w:val="20"/>
      <w:szCs w:val="20"/>
    </w:rPr>
  </w:style>
  <w:style w:type="paragraph" w:styleId="Annotationsubject">
    <w:name w:val="annotation subject"/>
    <w:basedOn w:val="Annotationtext"/>
    <w:next w:val="Annotationtext"/>
    <w:link w:val="af5"/>
    <w:uiPriority w:val="99"/>
    <w:semiHidden/>
    <w:unhideWhenUsed/>
    <w:qFormat/>
    <w:rsid w:val="003545f2"/>
    <w:pPr/>
    <w:rPr>
      <w:b/>
      <w:bCs/>
    </w:rPr>
  </w:style>
  <w:style w:type="paragraph" w:styleId="Revision">
    <w:name w:val="Revision"/>
    <w:uiPriority w:val="99"/>
    <w:semiHidden/>
    <w:qFormat/>
    <w:rsid w:val="00d32f22"/>
    <w:pPr>
      <w:widowControl/>
      <w:bidi w:val="0"/>
      <w:spacing w:lineRule="auto" w:line="240" w:before="0" w:after="0"/>
      <w:jc w:val="left"/>
    </w:pPr>
    <w:rPr>
      <w:rFonts w:ascii="Times New Roman" w:hAnsi="Times New Roman" w:eastAsia="NSimSun" w:cs="Arial"/>
      <w:color w:val="auto"/>
      <w:kern w:val="0"/>
      <w:sz w:val="22"/>
      <w:szCs w:val="22"/>
      <w:lang w:val="ru-RU" w:eastAsia="zh-CN" w:bidi="hi-IN"/>
    </w:rPr>
  </w:style>
  <w:style w:type="paragraph" w:styleId="P" w:customStyle="1">
    <w:name w:val="p"/>
    <w:basedOn w:val="Normal"/>
    <w:qFormat/>
    <w:rsid w:val="008931e8"/>
    <w:pPr>
      <w:spacing w:lineRule="auto" w:line="240" w:beforeAutospacing="1" w:afterAutospacing="1"/>
    </w:pPr>
    <w:rPr>
      <w:rFonts w:eastAsia="Times New Roman" w:cs="Times New Roman"/>
      <w:sz w:val="24"/>
      <w:szCs w:val="24"/>
      <w:lang w:eastAsia="ru-RU"/>
    </w:rPr>
  </w:style>
  <w:style w:type="paragraph" w:styleId="Subtitle">
    <w:name w:val="Subtitle"/>
    <w:basedOn w:val="LOnormal"/>
    <w:next w:val="LOnormal"/>
    <w:qFormat/>
    <w:pPr>
      <w:keepNext w:val="true"/>
      <w:keepLines/>
      <w:pageBreakBefore w:val="false"/>
      <w:widowControl/>
      <w:shd w:val="clear" w:fill="auto"/>
      <w:spacing w:lineRule="auto" w:line="259" w:before="360" w:after="80"/>
      <w:ind w:left="0" w:right="0" w:hanging="0"/>
      <w:jc w:val="left"/>
    </w:pPr>
    <w:rPr>
      <w:rFonts w:ascii="Georgia" w:hAnsi="Georgia" w:eastAsia="Georgia" w:cs="Georgia"/>
      <w:b w:val="false"/>
      <w:i/>
      <w:caps w:val="false"/>
      <w:smallCaps w:val="false"/>
      <w:strike w:val="false"/>
      <w:dstrike w:val="false"/>
      <w:color w:val="666666"/>
      <w:position w:val="0"/>
      <w:sz w:val="48"/>
      <w:sz w:val="48"/>
      <w:szCs w:val="48"/>
      <w:u w:val="none"/>
      <w:shd w:fill="auto" w:val="clear"/>
      <w:vertAlign w:val="baseline"/>
    </w:rPr>
  </w:style>
  <w:style w:type="numbering" w:styleId="NoList" w:default="1">
    <w:name w:val="No List"/>
    <w:uiPriority w:val="99"/>
    <w:semiHidden/>
    <w:unhideWhenUsed/>
    <w:qFormat/>
  </w:style>
  <w:style w:type="table" w:default="1" w:styleId="TableNormal">
    <w:name w:val="Table Normal"/>
  </w:style>
  <w:style w:type="table" w:default="1" w:styleId="TableNormal">
    <w:name w:val="Table Normal"/>
  </w:style>
  <w:style w:type="table" w:default="1" w:styleId="a3">
    <w:name w:val="Normal Table"/>
    <w:uiPriority w:val="99"/>
    <w:semiHidden/>
    <w:unhideWhenUsed/>
    <w:tblPr>
      <w:tblInd w:w="0" w:type="dxa"/>
      <w:tblCellMar>
        <w:top w:w="0" w:type="dxa"/>
        <w:left w:w="108" w:type="dxa"/>
        <w:bottom w:w="0" w:type="dxa"/>
        <w:right w:w="108" w:type="dxa"/>
      </w:tblCellMar>
    </w:tblPr>
  </w:style>
  <w:style w:type="table" w:styleId="a9">
    <w:name w:val="Table Grid"/>
    <w:basedOn w:val="a3"/>
    <w:uiPriority w:val="39"/>
    <w:rsid w:val="000c05c7"/>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
    <w:name w:val="Сетка таблицы1"/>
    <w:basedOn w:val="a3"/>
    <w:rsid w:val="00dc2785"/>
    <w:pPr>
      <w:spacing w:after="0" w:line="240" w:lineRule="auto"/>
      <w:jc w:val="both"/>
    </w:pPr>
    <w:rPr>
      <w:lang w:eastAsia="ru-RU"/>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4">
    <w:name w:val="Сетка таблицы2"/>
    <w:basedOn w:val="a3"/>
    <w:rsid w:val="000b0ae4"/>
    <w:pPr>
      <w:spacing w:after="0" w:line="240" w:lineRule="auto"/>
    </w:pPr>
    <w:rPr>
      <w:lang w:val="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1">
    <w:name w:val="Table Grid1"/>
    <w:basedOn w:val="a3"/>
    <w:rsid w:val="00b94aaa"/>
    <w:pPr>
      <w:spacing w:after="0" w:line="240" w:lineRule="auto"/>
      <w:jc w:val="both"/>
    </w:pPr>
    <w:rPr>
      <w:lang w:eastAsia="ru-RU"/>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pp.marketmonstr.pro/tariffs" TargetMode="External"/><Relationship Id="rId3" Type="http://schemas.openxmlformats.org/officeDocument/2006/relationships/hyperlink" Target="https://app.marketmonstr.pro/conf_policy.pdf" TargetMode="Externa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pZPGg5h/UJ9TUSTnXf3dGcCfdyQ==">CgMxLjAaHwoBMBIaChgICVIUChJ0YWJsZS5iaW51OXFvdHZrZXUaHwoBMRIaChgICVIUChJ0YWJsZS5lOTI3dWoyYmYxbmMyCGguZ2pkZ3hzMgloLjMwajB6bGwyCWguMWZvYjl0ZTIJaC4zem55c2g3MgloLjJldDkycDAyCGgudHlqY3d0MgloLjNkeTZ2a20yCWguMXQzaDVzZjgAciExaGk4WlN3anlVMkhfcFFXaXROQzYwQk1RNU5CQ0VVb20=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3</TotalTime>
  <Application>XLSX_Editor/6.2.8.2$Windows_x86 LibreOffice_project/</Application>
  <Pages>23</Pages>
  <Words>7948</Words>
  <Characters>57166</Characters>
  <CharactersWithSpaces>64682</CharactersWithSpaces>
  <Paragraphs>285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2024-08-23T14:37:00Z</dcterms:created>
  <dc:creator>Руслан Еникеев</dc:creator>
  <dc:description/>
  <dc:language>en-US</dc:language>
  <cp:lastModifiedBy/>
  <dcterms:modified xsi:type="dcterms:W3CDTF">2024-08-26T22:56:09Z</dcterms:modified>
  <cp:revision>7</cp:revision>
  <dc:subject/>
  <dc:title/>
</cp:coreProperties>
</file>