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-566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Договор-оферта на оказание услуг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-566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Настоящее предложение является публичной офертой, адресованной любому лицу, заинтересованному в получении услуг, предоставляемых Исполнителем с помощью платформы Harmex (далее – «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Платформа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»), расположенной по адресу: </w:t>
      </w:r>
      <w:hyperlink r:id="rId6">
        <w:r w:rsidDel="00000000" w:rsidR="00000000" w:rsidRPr="00000000">
          <w:rPr>
            <w:rFonts w:ascii="Arial" w:cs="Arial" w:eastAsia="Arial" w:hAnsi="Arial"/>
            <w:b w:val="0"/>
            <w:i w:val="0"/>
            <w:smallCaps w:val="0"/>
            <w:strike w:val="0"/>
            <w:color w:val="0000ff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www.harmex.ru</w:t>
        </w:r>
      </w:hyperlink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заключить договор (далее - «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Договор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») между исполнителем Платформы Индивидуальный предприниматель Балашов Андрей Эдуардович (ИНН: 644651000810, ОГРНИП: 323645700117862) (далее – «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Исполнитель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»), на указанных ниже условиях.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-566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Безусловным принятием (акцептом) условий настоящего Договора считается регистрация на веб-сайте </w:t>
      </w:r>
      <w:hyperlink r:id="rId7">
        <w:r w:rsidDel="00000000" w:rsidR="00000000" w:rsidRPr="00000000">
          <w:rPr>
            <w:rFonts w:ascii="Arial" w:cs="Arial" w:eastAsia="Arial" w:hAnsi="Arial"/>
            <w:b w:val="0"/>
            <w:i w:val="0"/>
            <w:smallCaps w:val="0"/>
            <w:strike w:val="0"/>
            <w:color w:val="0000ff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www.harmex.ru</w:t>
        </w:r>
      </w:hyperlink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и любые последующие действия по использованию Платформы. Акцепт настоящего Договора на иных условиях, отличных от тех, что указаны в настоящем Договоре, либо акцепт под условием, не допускается.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Лицо, прошедшее процедуру регистрации на Платформе, именуется в дальнейшем «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Пользователь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», Исполнитель и Пользователь совместно именуются «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Стороны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», а каждый из них отдельно – «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Сторона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».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-566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Термины и определения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Платформа Harmex является автоматизированным онлайн-сервисом для владельцев магазинов, менеджеров, производителей, онлайн-школ и сервисных компаний, предоставляющим инструменты для повышения рейтинга карточек на маркетплейсах и интернет-магазинах. Основным инструментом Платформы Harmex являются цифровые личности, которые регулярно проводят поведенческую активность на маркетплейсах, интернет-магазинах и умеют находить товары, изучать карточки, добавлять в корзину, заказывать, оплачивать, оставлять отзывы и вопросы.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Цифровые личности – это аудитория, созданная с помощью искусственного интеллекта, и используемая для управления репутацией на маркетплейсах и интернет-магазинах.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Персональный кошелек – раздел личного кабинета Пользователя на Платформе, с помощью которого Пользователь оплачивает услуги Исполнителя. Баланс Персонального кошелька Пользователь пополняет способами, доступными на Платформе.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Предмет Договора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Исполнитель оказывает Пользователю услуги по продвижению репутации на маркетплейсах и интернет-магазинах, выбранных Пользователем, с помощью каталога Платформы и Цифровых личностей, а Пользователь оплачивает услугу с помощью своего Персонального кошелька. Объем, включая количество привлекаемых Цифровых личностей, заказов, отзывов, реакций, а также стоимость услуг указывается на Платформе в разделе Каталог и доступны Пользователю для выбора и оплаты в Личном кабинете.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Пользователь, оплачивая услугу, соглашается, что в случае принятия решения Пользователем отказаться от услуги, Исполнитель вправе вернуть денежные средства на баланс Персонального кошелька Пользователя за вычетом расходов, потраченных на развертывание и обеспечение соответствующей инфраструктуры на соответствующий срок до 14 дней с момента получения денежных средств в качестве возврата отмененного заказа на маркетплейсе.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Пользователь может осуществлять оплату услуг как с помощью дебетовой или кредитной карты физического лица, так и с помощью корпоративной карты юридического лица или индивидуального предпринимателя, а так же переводить на расчетный счет Исполнителя при выставляемом счете.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Срок действия настоящей оферты: бессрочно, если в настоящую публичную оферту не внесены изменения или не Исполнителем не размещена новая оферта на Платформе. В случае внесения изменений в настоящую оферту или принятия новой оферты такие изменения или новая оферта вступают в силу с даты размещения на Платформе.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Пользователь обязан самостоятельно отслеживать такие изменения и обязан ознакомиться с такими изменениями или новой офертой. Пользователь выражает свое согласие и акцепт таких изменений или новой оферты путем продолжения пользования Платформой и оплаты услуг, начиная с даты размещения таких изменений или новой оферты на Платформе.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Качество оказания услуги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Исполнитель гарантирует, что услуга будет оказана в том виде, в котором она будет описана при ее покупке и последующей активации.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Исполнитель не несет ответственности за то, что в результате оказания услуг могут быть технические сбои в работе сторонних площадок, так как данные результаты зависят, в том числе от действий самого Пользователя, его информации по заказу и иных факторов, на которые Исполнитель не влияет.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Регистрация и авторизация на сайте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Для использования функций Платформы Пользователь регистрируется, создавая личный кабинет, где может пополнять баланс, просматривать историю операций и заказов, связываться с поддержкой и изменять личные данные. При регистрации Пользователь указывает свои персональные данные и обязуется предоставить достоверную информацию. Данные обрабатываются Исполнителем в соответствии с политикой конфиденциальности.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Регистрация на сайте означает полный и безоговорочный акцепт настоящей публичной оферты.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Партнерская программа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Каждый Пользователь может участвовать в партнерской программе Исполнителя.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Пользователь участвует в партнерской программе с помощью соответствующего уникального кода, доступного в личном кабинете Пользователя.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Вознаграждение пользователя указано в меню Финансы за каждого нового пользователя, использовавшего уникальный код или уникальную реферальную ссылку Пользователя при регистрации и последующей оплате услуг, при условии активации оплаченных услуг.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Интеллектуальная собственность и ограничения при использовании Платформы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 Используя материалы Исполнителя, а также используя Платформу, Пользователь признает и соглашается с тем, что все содержимое Платформы, алгоритмы, дизайн, логотипы, контент и структура содержимого Платформы защищены авторским правом, правом на товарный знак и другими правами на результаты интеллектуальной деятельности и что указанные права являются действительными и охраняются во всех формах, на всех носителях и в отношении всех технологий, как существующих в настоящее время, так и разработанных или созданных впоследствии. Никакие права на любое содержимое материалов и Платформы, принадлежащих Исполнителю, включая, помимо прочего, аудиовизуальные произведения, текстовые и графические материалы, программы для ЭВМ, товарные знаки не переходят к Пользователю в результате пользования материалами и Платформой и заключения Договора.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Пользователю запрещается копировать, модифицировать, изменять, удалять, дополнять, публиковать, передавать какую-либо информацию, полученную на Платформе, кроме случаев, когда такая функция прямо предусмотрена на Платформе.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Пользователю запрещается: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копировать либо иным способом использовать программную часть Платформы, а также ее дизайн.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использовать персональные данные третьих лиц на Платформе, без их согласия, в том числе домашние адреса, телефоны, паспортные данные, адреса электронной почты.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изменять каким бы то ни было способом программную часть Платформы, совершать действия, направленные на изменение функционирования и работоспособности Платформы.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использовать Платформу для увеличения активности контента, нарушающего исключительные права третьих лиц.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Права и обязанности Сторон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Исполнитель имеет право: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Исполнитель вправе в одностороннем порядке время от времени вносить изменения в настоящий Договор. Текст измененного Договора будет доступен на сайте Платформы. Пользователь обязан самостоятельно проверять условия таких изменений. При совершении действий по использованию Платформы после внесения изменений в Договор и их опубликования на сайте Платформы, Пользователь подтверждает согласие с такими изменениями Договора. 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Отказать Пользователю в оказании услуг, в том числе путем блокировки, если Исполнитель посчитает, что Пользователь нарушает, намеревается нарушить или допускает нарушение законодательства РФ в любой его части, в том числе посягает на права и законные интересы других лиц. 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Пользователь обязуется: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соблюдать условия настоящего Договора, с вносимыми время от время изменениями, а в случае несогласия с такими изменениями прекратить использование Платформы.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3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соблюдать законодательство РФ или иной применимой юрисдикции при использовании Платформы.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Ограничение ответственности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Исполнитель не несет ответственности за сбои в работе, вызванные третьими лицами (сбои интернета, технические проблемы на стороне платформ, интегрированных с Платформой), а также за действия любых иных третьих лиц.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Исполнитель не несет ответственности в случае блокировки аккаунта, канала, удаления постов и иных ограничений, применяемых администрацией маркетплейсов и интернет-магазинов.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Пользователь подтверждает, что будет использовать Платформу только для тех магазинов, владельцем которых он является, или им получено согласие в письменном виде от владельца магазина для оказания услуг с помощью Платформы в отношении такого канала.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Применимое право и разрешение споров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Настоящие Договор и отношения, возникающие между Сторонами, регулируются законодательством Российской Федерации.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Все возможные споры, вытекающие из отношений, регулируемых настоящим Договором, разрешаются в досудебном порядке.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В случае, если разрешить спор и разногласия не удалось, Сторона имеет право направить спор на рассмотрение в суд по месту нахождения Исполнителя.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Услуги, оказываемые Исполнителем с помощью Платформы, предназначены для юридических и физических лиц для целей, не связанных с личными, семейными, домашними и иными нуждами. Использование Платформы не регулируется законом Российской Федерации от 07.02.1992 N 2300-1 «О защите прав потребителей». Физические лица, пользующиеся Платформой, не являются потребителями, как это определено вышеуказанным законом.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Интеграция с третьими лицами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Исполнитель может интегрировать работу Платформы с сервисами третьих лиц, но не несет ответственности за их сбои в работе или нарушения.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Пользователь обязуется соблюдать правила использования сторонних сервисов, которые используются для интеграции.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Уведомления и рассылки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Пользователи дают согласие на получение уведомлений и информационных сообщений от Исполнителя как на Платформе, так и используя контактные данные Пользователя, указанные при регистрации на Платформе.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Пользователи имеют право отказаться от получения уведомлений и информационных сообщений от Исполнителя, за исключением критически важных уведомлений.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Стороны признают юридическую силу текстов уведомлений и сообщений, направленных Исполнителем в адрес Пользователя на указанные им при регистрации учетной записи телефонный номер, и адрес электронной почты, а также через Личный кабинет. Такие уведомления и сообщения приравниваются к сообщениям и уведомлениям, исполненным в простой письменной форме.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Пользователь может связаться с Исполнителем в форме обратной связи, чат-боте поддержки или с помощью адреса электронной почты Исполнителя, указанного на Платформе.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Ответственность за нарушение правил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Исполнитель оставляет за собой право в одностороннем порядке принять решение о временной или постоянной блокировке Пользователя за нарушение настоящего Договора, а также иных правил пользования Платформой, доступных на Платформе, а также за нарушение законодательства РФ или иного применимого законодательства. 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Исполнитель имеет право на взыскание любых убытков с Пользователя или иных лиц, совершающих по отношению к Платформе и/или Исполнителю или аффилированным с Исполнителем лицам действия или бездействие, нарушающие права и охраняемые законом интересы Исполнителя или таких аффилированных лиц, включая упущенную в результате таких действий или бездействия выгоду.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Исполнитель оставляет за собой право, при грубом нарушении со стороны Пользователя, использовать предоставленные Пользователем контактные данные и иную информацию, в том числе платежную, для принятия к Пользователю судебных, административных, уголовно-процессуальных и иных мер для защиты своих законных прав и интересов.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-566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after="0" w:lineRule="auto"/>
        <w:ind w:left="-566" w:firstLine="0"/>
        <w:jc w:val="center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Политика возврата денежных средств с баланса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Пользователь вправе подать заявку на возврат (вывод) денежных средств, находящихся на балансе его Персонального кошелька, на те же реквизиты, с которых было осуществлено пополнение баланса.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Заявка на вывод средств подается Пользователем через личный кабинет или по электронному адресу Исполнителя, указанному на Платформе.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Исполнитель осуществляет обработку и перечисление денежных средств в течение 30 (тридцати) календарных дней с момента подачи Пользователем корректно оформленной заявки.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Основанием для отказа в выводе средств может являться: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некорректно указанные реквизиты;</w:t>
        <w:br w:type="textWrapping"/>
        <w:t xml:space="preserve">несоответствие данных Пользователя данным, указанным при регистрации и пополнении баланса;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иные обстоятельства, требующие подтверждения личности Пользователя в целях соблюдения требований законодательства РФ, включая Федеральный закон № 115-ФЗ «О противодействии легализации (отмыванию) доходов, полученных преступным путем, и финансированию терроризма». 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В случае отказа Исполнителя в обработке заявки Пользователю направляется уведомление с указанием причины отказа и просьбой подать новую корректную заявку.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Сумма вывода должна быть равна текущему балансу Пользователя. Частичный вывод средств не допускается в целях соблюдения финансовой безопасности Исполнителя и предотвращения рисков, связанных с нарушением законодательства РФ.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Исполнитель не удерживает комиссию за вывод средств, кроме случаев, когда банковские или иные платежные системы взимают комиссионное вознаграждение, о чем Пользователь уведомляется заранее.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-566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После обработки заявки и перечисления средств обязательства Исполнителя по возврату считаются исполненными в полном объеме.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92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2" w:line="240" w:lineRule="auto"/>
        <w:ind w:left="1800" w:right="0" w:firstLine="36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РЕКВИЗИТЫ ОПЕРАТОРА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</w:p>
    <w:tbl>
      <w:tblPr>
        <w:tblStyle w:val="Table1"/>
        <w:tblW w:w="9355.0" w:type="dxa"/>
        <w:jc w:val="left"/>
        <w:tblInd w:w="6.0" w:type="dxa"/>
        <w:tblLayout w:type="fixed"/>
        <w:tblLook w:val="0600"/>
      </w:tblPr>
      <w:tblGrid>
        <w:gridCol w:w="2548"/>
        <w:gridCol w:w="6807"/>
        <w:tblGridChange w:id="0">
          <w:tblGrid>
            <w:gridCol w:w="2548"/>
            <w:gridCol w:w="6807"/>
          </w:tblGrid>
        </w:tblGridChange>
      </w:tblGrid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</w:rPr>
            </w:pPr>
            <w:bookmarkStart w:colFirst="0" w:colLast="0" w:name="_aa6dnx8b3fzj" w:id="0"/>
            <w:bookmarkEnd w:id="0"/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Наименование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</w:rPr>
            </w:pPr>
            <w:bookmarkStart w:colFirst="0" w:colLast="0" w:name="_smrxffsaa4gj" w:id="1"/>
            <w:bookmarkEnd w:id="1"/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Балашов Андрей Эдуардович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7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  <w:rtl w:val="0"/>
              </w:rPr>
              <w:t xml:space="preserve">ОГРН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323645700117862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  <w:rtl w:val="0"/>
              </w:rPr>
              <w:t xml:space="preserve">ИНН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644651000810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  <w:rtl w:val="0"/>
              </w:rPr>
              <w:t xml:space="preserve">Юридический адрес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  <w:rtl w:val="0"/>
              </w:rPr>
              <w:t xml:space="preserve">412031, Россия, Сартовская обл., г. Ртищево, ул. Пролетарская, д. 2, кв. 87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  <w:rtl w:val="0"/>
              </w:rPr>
              <w:t xml:space="preserve">Банк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  <w:rtl w:val="0"/>
              </w:rPr>
              <w:t xml:space="preserve">ПРИВОЛЖСКИЙ Ф-Л ПАО "ПРОМСВЯЗЬБАНК"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  <w:rtl w:val="0"/>
              </w:rPr>
              <w:t xml:space="preserve">БИК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  <w:rtl w:val="0"/>
              </w:rPr>
              <w:t xml:space="preserve">042202803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  <w:rtl w:val="0"/>
              </w:rPr>
              <w:t xml:space="preserve">Расчетный счет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  <w:rtl w:val="0"/>
              </w:rPr>
              <w:t xml:space="preserve">40802810903000164001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  <w:rtl w:val="0"/>
              </w:rPr>
              <w:t xml:space="preserve">Кор. счет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  <w:rtl w:val="0"/>
              </w:rPr>
              <w:t xml:space="preserve">30101810700000000803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  <w:rtl w:val="0"/>
              </w:rPr>
              <w:t xml:space="preserve">Email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0" w:before="0" w:line="27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hyperlink r:id="rId8">
              <w:r w:rsidDel="00000000" w:rsidR="00000000" w:rsidRPr="00000000">
                <w:rPr>
                  <w:rFonts w:ascii="Arial" w:cs="Arial" w:eastAsia="Arial" w:hAnsi="Arial"/>
                  <w:b w:val="0"/>
                  <w:i w:val="0"/>
                  <w:smallCaps w:val="0"/>
                  <w:strike w:val="0"/>
                  <w:color w:val="1155cc"/>
                  <w:sz w:val="20"/>
                  <w:szCs w:val="20"/>
                  <w:u w:val="single"/>
                  <w:shd w:fill="auto" w:val="clear"/>
                  <w:vertAlign w:val="baseline"/>
                  <w:rtl w:val="0"/>
                </w:rPr>
                <w:t xml:space="preserve">support@harmex.ru</w:t>
              </w:r>
            </w:hyperlink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2" w:line="240" w:lineRule="auto"/>
        <w:ind w:left="1800" w:right="0" w:firstLine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РЕКВИЗИТЫ ПОЛЬЗОВАТЕЛЯ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</w:p>
    <w:tbl>
      <w:tblPr>
        <w:tblStyle w:val="Table2"/>
        <w:tblW w:w="9070.0" w:type="dxa"/>
        <w:jc w:val="left"/>
        <w:tblLayout w:type="fixed"/>
        <w:tblLook w:val="0600"/>
      </w:tblPr>
      <w:tblGrid>
        <w:gridCol w:w="4535"/>
        <w:gridCol w:w="4535"/>
        <w:tblGridChange w:id="0">
          <w:tblGrid>
            <w:gridCol w:w="4535"/>
            <w:gridCol w:w="45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Пользователь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{{username}}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7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Номер телефона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{{phoneNumber}}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Дата регистрации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{{registrationDate}}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Эл. почта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highlight w:val="white"/>
                <w:u w:val="none"/>
                <w:vertAlign w:val="baseline"/>
                <w:rtl w:val="0"/>
              </w:rPr>
              <w:t xml:space="preserve">{{email}}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2" w:line="240" w:lineRule="auto"/>
        <w:ind w:left="1800" w:right="0" w:firstLine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9" w:type="default"/>
      <w:pgSz w:h="16838" w:w="11906" w:orient="portrait"/>
      <w:pgMar w:bottom="1134" w:top="1134" w:left="1701" w:right="850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Редакция от 15.11. 2024 г.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"/>
      </w:pPr>
      <w:rPr/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4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ru"/>
      </w:rPr>
    </w:rPrDefault>
    <w:pPrDefault>
      <w:pPr>
        <w:spacing w:after="16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Play" w:cs="Play" w:eastAsia="Play" w:hAnsi="Play"/>
      <w:b w:val="0"/>
      <w:i w:val="0"/>
      <w:smallCaps w:val="0"/>
      <w:strike w:val="0"/>
      <w:color w:val="0f4761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160" w:line="276" w:lineRule="auto"/>
      <w:ind w:left="0" w:right="0" w:firstLine="0"/>
      <w:jc w:val="left"/>
    </w:pPr>
    <w:rPr>
      <w:rFonts w:ascii="Play" w:cs="Play" w:eastAsia="Play" w:hAnsi="Play"/>
      <w:b w:val="0"/>
      <w:i w:val="0"/>
      <w:smallCaps w:val="0"/>
      <w:strike w:val="0"/>
      <w:color w:val="0f4761"/>
      <w:sz w:val="32"/>
      <w:szCs w:val="32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160" w:line="276" w:lineRule="auto"/>
      <w:ind w:left="0" w:right="0" w:firstLine="0"/>
      <w:jc w:val="left"/>
    </w:pPr>
    <w:rPr>
      <w:rFonts w:ascii="Aptos" w:cs="Aptos" w:eastAsia="Aptos" w:hAnsi="Aptos"/>
      <w:b w:val="0"/>
      <w:i w:val="0"/>
      <w:smallCaps w:val="0"/>
      <w:strike w:val="0"/>
      <w:color w:val="0f4761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80" w:line="276" w:lineRule="auto"/>
      <w:ind w:left="0" w:right="0" w:firstLine="0"/>
      <w:jc w:val="left"/>
    </w:pPr>
    <w:rPr>
      <w:rFonts w:ascii="Aptos" w:cs="Aptos" w:eastAsia="Aptos" w:hAnsi="Aptos"/>
      <w:b w:val="0"/>
      <w:i w:val="1"/>
      <w:smallCaps w:val="0"/>
      <w:strike w:val="0"/>
      <w:color w:val="0f4761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80" w:line="276" w:lineRule="auto"/>
      <w:ind w:left="0" w:right="0" w:firstLine="0"/>
      <w:jc w:val="left"/>
    </w:pPr>
    <w:rPr>
      <w:rFonts w:ascii="Aptos" w:cs="Aptos" w:eastAsia="Aptos" w:hAnsi="Aptos"/>
      <w:b w:val="0"/>
      <w:i w:val="0"/>
      <w:smallCaps w:val="0"/>
      <w:strike w:val="0"/>
      <w:color w:val="0f4761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40" w:line="276" w:lineRule="auto"/>
      <w:ind w:left="0" w:right="0" w:firstLine="0"/>
      <w:jc w:val="left"/>
    </w:pPr>
    <w:rPr>
      <w:rFonts w:ascii="Aptos" w:cs="Aptos" w:eastAsia="Aptos" w:hAnsi="Aptos"/>
      <w:b w:val="0"/>
      <w:i w:val="1"/>
      <w:smallCaps w:val="0"/>
      <w:strike w:val="0"/>
      <w:color w:val="595959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0" w:line="240" w:lineRule="auto"/>
      <w:ind w:left="0" w:right="0" w:firstLine="0"/>
      <w:jc w:val="left"/>
    </w:pPr>
    <w:rPr>
      <w:rFonts w:ascii="Play" w:cs="Play" w:eastAsia="Play" w:hAnsi="Play"/>
      <w:b w:val="0"/>
      <w:i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hyperlink" Target="http://www.harmex.ru/" TargetMode="External"/><Relationship Id="rId7" Type="http://schemas.openxmlformats.org/officeDocument/2006/relationships/hyperlink" Target="http://www.harmex.ru/" TargetMode="External"/><Relationship Id="rId8" Type="http://schemas.openxmlformats.org/officeDocument/2006/relationships/hyperlink" Target="mailto:support@harmex.ru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