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C5CAB"/>
          <w:sz w:val="72"/>
          <w:szCs w:val="72"/>
        </w:rPr>
        <w:t xml:space="preserve">BayFlow</w:t>
      </w:r>
    </w:p>
    <w:p>
      <w:pPr>
        <w:spacing w:after="360"/>
      </w:pPr>
      <w:r>
        <w:rPr>
          <w:color w:val="52514E"/>
          <w:sz w:val="32"/>
          <w:szCs w:val="32"/>
        </w:rPr>
        <w:t xml:space="preserve">An AI cash-flow copilot for small food shops</w:t>
      </w:r>
    </w:p>
    <w:p>
      <w:pPr>
        <w:pBdr>
          <w:bottom w:val="single" w:color="1C5CAB" w:sz="8" w:space="4"/>
        </w:pBdr>
      </w:pPr>
    </w:p>
    <w:p>
      <w:pPr>
        <w:spacing w:after="80" w:before="360"/>
      </w:pPr>
      <w:r>
        <w:rPr>
          <w:b/>
          <w:bCs/>
          <w:sz w:val="36"/>
          <w:szCs w:val="36"/>
        </w:rPr>
        <w:t xml:space="preserve">Security Self-Assessment Report</w:t>
      </w:r>
    </w:p>
    <w:p>
      <w:pPr>
        <w:spacing w:after="60"/>
      </w:pPr>
      <w:r>
        <w:rPr>
          <w:sz w:val="24"/>
          <w:szCs w:val="24"/>
        </w:rPr>
        <w:t xml:space="preserve">Permission-tier implementation and known-risk list</w:t>
      </w:r>
    </w:p>
    <w:p>
      <w:pPr>
        <w:spacing w:after="60"/>
      </w:pPr>
      <w:r>
        <w:rPr>
          <w:sz w:val="24"/>
          <w:szCs w:val="24"/>
        </w:rPr>
        <w:t xml:space="preserve">2026 FinTechathon · International Track</w:t>
      </w:r>
    </w:p>
    <w:p>
      <w:pPr>
        <w:spacing w:after="600"/>
      </w:pPr>
      <w:r>
        <w:rPr>
          <w:sz w:val="24"/>
          <w:szCs w:val="24"/>
        </w:rPr>
        <w:t xml:space="preserve">Topic E: SME Finance Copilot</w:t>
      </w:r>
    </w:p>
    <w:p>
      <w:pPr>
        <w:spacing w:after="60"/>
      </w:pPr>
      <w:r>
        <w:rPr>
          <w:b/>
          <w:bCs/>
          <w:sz w:val="22"/>
          <w:szCs w:val="22"/>
        </w:rPr>
        <w:t xml:space="preserve">Source code: </w:t>
      </w:r>
      <w:hyperlink w:history="1" r:id="rIdczppn6y6fbmol7fnkjkzx">
        <w:r>
          <w:rPr>
            <w:rStyle w:val="Hyperlink"/>
            <w:sz w:val="22"/>
            <w:szCs w:val="22"/>
          </w:rPr>
          <w:t xml:space="preserve">https://github.com/A2-HrMSTrailblazer/FinTech-Project</w:t>
        </w:r>
      </w:hyperlink>
    </w:p>
    <w:p>
      <w:pPr>
        <w:spacing w:after="60"/>
      </w:pPr>
      <w:r>
        <w:rPr>
          <w:b/>
          <w:bCs/>
          <w:sz w:val="22"/>
          <w:szCs w:val="22"/>
        </w:rPr>
        <w:t xml:space="preserve">Assessed: </w:t>
      </w:r>
      <w:r>
        <w:rPr>
          <w:sz w:val="22"/>
          <w:szCs w:val="22"/>
        </w:rPr>
        <w:t xml:space="preserve">20 October 2026</w:t>
      </w:r>
    </w:p>
    <w:p>
      <w:r>
        <w:br w:type="page"/>
      </w:r>
    </w:p>
    <w:p>
      <w:pPr>
        <w:spacing w:after="200"/>
      </w:pPr>
      <w:r>
        <w:rPr>
          <w:b/>
          <w:bCs/>
          <w:color w:val="1C5CAB"/>
          <w:sz w:val="32"/>
          <w:szCs w:val="32"/>
        </w:rPr>
        <w:t xml:space="preserve">Contents</w:t>
      </w:r>
    </w:p>
    <w:p>
      <w:pPr>
        <w:tabs>
          <w:tab w:val="right" w:pos="9026" w:leader="dot"/>
        </w:tabs>
        <w:spacing w:after="80" w:before="120"/>
        <w:ind w:left="0"/>
      </w:pPr>
      <w:r>
        <w:rPr>
          <w:b/>
          <w:bCs/>
          <w:sz w:val="22"/>
          <w:szCs w:val="22"/>
        </w:rPr>
        <w:t xml:space="preserve">1. Summary</w:t>
      </w:r>
      <w:r>
        <w:rPr>
          <w:sz w:val="20"/>
          <w:szCs w:val="20"/>
        </w:rPr>
        <w:tab/>
      </w:r>
      <w:r>
        <w:rPr>
          <w:b/>
          <w:bCs/>
          <w:sz w:val="22"/>
          <w:szCs w:val="22"/>
        </w:rPr>
        <w:t xml:space="preserve">3</w:t>
      </w:r>
    </w:p>
    <w:p>
      <w:pPr>
        <w:tabs>
          <w:tab w:val="right" w:pos="9026" w:leader="dot"/>
        </w:tabs>
        <w:spacing w:after="40" w:before="0"/>
        <w:ind w:left="360"/>
      </w:pPr>
      <w:r>
        <w:rPr>
          <w:b w:val="false"/>
          <w:bCs w:val="false"/>
          <w:sz w:val="20"/>
          <w:szCs w:val="20"/>
        </w:rPr>
        <w:t xml:space="preserve">1.1 How we assessed</w:t>
      </w:r>
      <w:r>
        <w:rPr>
          <w:sz w:val="20"/>
          <w:szCs w:val="20"/>
        </w:rPr>
        <w:tab/>
      </w:r>
      <w:r>
        <w:rPr>
          <w:b w:val="false"/>
          <w:bCs w:val="false"/>
          <w:sz w:val="20"/>
          <w:szCs w:val="20"/>
        </w:rPr>
        <w:t xml:space="preserve">3</w:t>
      </w:r>
    </w:p>
    <w:p>
      <w:pPr>
        <w:tabs>
          <w:tab w:val="right" w:pos="9026" w:leader="dot"/>
        </w:tabs>
        <w:spacing w:after="80" w:before="120"/>
        <w:ind w:left="0"/>
      </w:pPr>
      <w:r>
        <w:rPr>
          <w:b/>
          <w:bCs/>
          <w:sz w:val="22"/>
          <w:szCs w:val="22"/>
        </w:rPr>
        <w:t xml:space="preserve">2. Scope</w:t>
      </w:r>
      <w:r>
        <w:rPr>
          <w:sz w:val="20"/>
          <w:szCs w:val="20"/>
        </w:rPr>
        <w:tab/>
      </w:r>
      <w:r>
        <w:rPr>
          <w:b/>
          <w:bCs/>
          <w:sz w:val="22"/>
          <w:szCs w:val="22"/>
        </w:rPr>
        <w:t xml:space="preserve">3</w:t>
      </w:r>
    </w:p>
    <w:p>
      <w:pPr>
        <w:tabs>
          <w:tab w:val="right" w:pos="9026" w:leader="dot"/>
        </w:tabs>
        <w:spacing w:after="40" w:before="0"/>
        <w:ind w:left="360"/>
      </w:pPr>
      <w:r>
        <w:rPr>
          <w:b w:val="false"/>
          <w:bCs w:val="false"/>
          <w:sz w:val="20"/>
          <w:szCs w:val="20"/>
        </w:rPr>
        <w:t xml:space="preserve">2.1 Assets</w:t>
      </w:r>
      <w:r>
        <w:rPr>
          <w:sz w:val="20"/>
          <w:szCs w:val="20"/>
        </w:rPr>
        <w:tab/>
      </w:r>
      <w:r>
        <w:rPr>
          <w:b w:val="false"/>
          <w:bCs w:val="false"/>
          <w:sz w:val="20"/>
          <w:szCs w:val="20"/>
        </w:rPr>
        <w:t xml:space="preserve">3</w:t>
      </w:r>
    </w:p>
    <w:p>
      <w:pPr>
        <w:tabs>
          <w:tab w:val="right" w:pos="9026" w:leader="dot"/>
        </w:tabs>
        <w:spacing w:after="40" w:before="0"/>
        <w:ind w:left="360"/>
      </w:pPr>
      <w:r>
        <w:rPr>
          <w:b w:val="false"/>
          <w:bCs w:val="false"/>
          <w:sz w:val="20"/>
          <w:szCs w:val="20"/>
        </w:rPr>
        <w:t xml:space="preserve">2.2 Actors and trust boundaries</w:t>
      </w:r>
      <w:r>
        <w:rPr>
          <w:sz w:val="20"/>
          <w:szCs w:val="20"/>
        </w:rPr>
        <w:tab/>
      </w:r>
      <w:r>
        <w:rPr>
          <w:b w:val="false"/>
          <w:bCs w:val="false"/>
          <w:sz w:val="20"/>
          <w:szCs w:val="20"/>
        </w:rPr>
        <w:t xml:space="preserve">4</w:t>
      </w:r>
    </w:p>
    <w:p>
      <w:pPr>
        <w:tabs>
          <w:tab w:val="right" w:pos="9026" w:leader="dot"/>
        </w:tabs>
        <w:spacing w:after="80" w:before="120"/>
        <w:ind w:left="0"/>
      </w:pPr>
      <w:r>
        <w:rPr>
          <w:b/>
          <w:bCs/>
          <w:sz w:val="22"/>
          <w:szCs w:val="22"/>
        </w:rPr>
        <w:t xml:space="preserve">3. Permission-tier implementation</w:t>
      </w:r>
      <w:r>
        <w:rPr>
          <w:sz w:val="20"/>
          <w:szCs w:val="20"/>
        </w:rPr>
        <w:tab/>
      </w:r>
      <w:r>
        <w:rPr>
          <w:b/>
          <w:bCs/>
          <w:sz w:val="22"/>
          <w:szCs w:val="22"/>
        </w:rPr>
        <w:t xml:space="preserve">4</w:t>
      </w:r>
    </w:p>
    <w:p>
      <w:pPr>
        <w:tabs>
          <w:tab w:val="right" w:pos="9026" w:leader="dot"/>
        </w:tabs>
        <w:spacing w:after="40" w:before="0"/>
        <w:ind w:left="360"/>
      </w:pPr>
      <w:r>
        <w:rPr>
          <w:b w:val="false"/>
          <w:bCs w:val="false"/>
          <w:sz w:val="20"/>
          <w:szCs w:val="20"/>
        </w:rPr>
        <w:t xml:space="preserve">3.1 The four tiers</w:t>
      </w:r>
      <w:r>
        <w:rPr>
          <w:sz w:val="20"/>
          <w:szCs w:val="20"/>
        </w:rPr>
        <w:tab/>
      </w:r>
      <w:r>
        <w:rPr>
          <w:b w:val="false"/>
          <w:bCs w:val="false"/>
          <w:sz w:val="20"/>
          <w:szCs w:val="20"/>
        </w:rPr>
        <w:t xml:space="preserve">4</w:t>
      </w:r>
    </w:p>
    <w:p>
      <w:pPr>
        <w:tabs>
          <w:tab w:val="right" w:pos="9026" w:leader="dot"/>
        </w:tabs>
        <w:spacing w:after="40" w:before="0"/>
        <w:ind w:left="360"/>
      </w:pPr>
      <w:r>
        <w:rPr>
          <w:b w:val="false"/>
          <w:bCs w:val="false"/>
          <w:sz w:val="20"/>
          <w:szCs w:val="20"/>
        </w:rPr>
        <w:t xml:space="preserve">3.2 How the tiers are enforced in code</w:t>
      </w:r>
      <w:r>
        <w:rPr>
          <w:sz w:val="20"/>
          <w:szCs w:val="20"/>
        </w:rPr>
        <w:tab/>
      </w:r>
      <w:r>
        <w:rPr>
          <w:b w:val="false"/>
          <w:bCs w:val="false"/>
          <w:sz w:val="20"/>
          <w:szCs w:val="20"/>
        </w:rPr>
        <w:t xml:space="preserve">4</w:t>
      </w:r>
    </w:p>
    <w:p>
      <w:pPr>
        <w:tabs>
          <w:tab w:val="right" w:pos="9026" w:leader="dot"/>
        </w:tabs>
        <w:spacing w:after="40" w:before="0"/>
        <w:ind w:left="360"/>
      </w:pPr>
      <w:r>
        <w:rPr>
          <w:b w:val="false"/>
          <w:bCs w:val="false"/>
          <w:sz w:val="20"/>
          <w:szCs w:val="20"/>
        </w:rPr>
        <w:t xml:space="preserve">3.3 Tool inventory</w:t>
      </w:r>
      <w:r>
        <w:rPr>
          <w:sz w:val="20"/>
          <w:szCs w:val="20"/>
        </w:rPr>
        <w:tab/>
      </w:r>
      <w:r>
        <w:rPr>
          <w:b w:val="false"/>
          <w:bCs w:val="false"/>
          <w:sz w:val="20"/>
          <w:szCs w:val="20"/>
        </w:rPr>
        <w:t xml:space="preserve">5</w:t>
      </w:r>
    </w:p>
    <w:p>
      <w:pPr>
        <w:tabs>
          <w:tab w:val="right" w:pos="9026" w:leader="dot"/>
        </w:tabs>
        <w:spacing w:after="40" w:before="0"/>
        <w:ind w:left="360"/>
      </w:pPr>
      <w:r>
        <w:rPr>
          <w:b w:val="false"/>
          <w:bCs w:val="false"/>
          <w:sz w:val="20"/>
          <w:szCs w:val="20"/>
        </w:rPr>
        <w:t xml:space="preserve">3.4 What a correction can change</w:t>
      </w:r>
      <w:r>
        <w:rPr>
          <w:sz w:val="20"/>
          <w:szCs w:val="20"/>
        </w:rPr>
        <w:tab/>
      </w:r>
      <w:r>
        <w:rPr>
          <w:b w:val="false"/>
          <w:bCs w:val="false"/>
          <w:sz w:val="20"/>
          <w:szCs w:val="20"/>
        </w:rPr>
        <w:t xml:space="preserve">5</w:t>
      </w:r>
    </w:p>
    <w:p>
      <w:pPr>
        <w:tabs>
          <w:tab w:val="right" w:pos="9026" w:leader="dot"/>
        </w:tabs>
        <w:spacing w:after="40" w:before="0"/>
        <w:ind w:left="360"/>
      </w:pPr>
      <w:r>
        <w:rPr>
          <w:b w:val="false"/>
          <w:bCs w:val="false"/>
          <w:sz w:val="20"/>
          <w:szCs w:val="20"/>
        </w:rPr>
        <w:t xml:space="preserve">3.5 Approval flow</w:t>
      </w:r>
      <w:r>
        <w:rPr>
          <w:sz w:val="20"/>
          <w:szCs w:val="20"/>
        </w:rPr>
        <w:tab/>
      </w:r>
      <w:r>
        <w:rPr>
          <w:b w:val="false"/>
          <w:bCs w:val="false"/>
          <w:sz w:val="20"/>
          <w:szCs w:val="20"/>
        </w:rPr>
        <w:t xml:space="preserve">5</w:t>
      </w:r>
    </w:p>
    <w:p>
      <w:pPr>
        <w:tabs>
          <w:tab w:val="right" w:pos="9026" w:leader="dot"/>
        </w:tabs>
        <w:spacing w:after="80" w:before="120"/>
        <w:ind w:left="0"/>
      </w:pPr>
      <w:r>
        <w:rPr>
          <w:b/>
          <w:bCs/>
          <w:sz w:val="22"/>
          <w:szCs w:val="22"/>
        </w:rPr>
        <w:t xml:space="preserve">4. Known-risk list</w:t>
      </w:r>
      <w:r>
        <w:rPr>
          <w:sz w:val="20"/>
          <w:szCs w:val="20"/>
        </w:rPr>
        <w:tab/>
      </w:r>
      <w:r>
        <w:rPr>
          <w:b/>
          <w:bCs/>
          <w:sz w:val="22"/>
          <w:szCs w:val="22"/>
        </w:rPr>
        <w:t xml:space="preserve">6</w:t>
      </w:r>
    </w:p>
    <w:p>
      <w:pPr>
        <w:tabs>
          <w:tab w:val="right" w:pos="9026" w:leader="dot"/>
        </w:tabs>
        <w:spacing w:after="40" w:before="0"/>
        <w:ind w:left="360"/>
      </w:pPr>
      <w:r>
        <w:rPr>
          <w:b w:val="false"/>
          <w:bCs w:val="false"/>
          <w:sz w:val="20"/>
          <w:szCs w:val="20"/>
        </w:rPr>
        <w:t xml:space="preserve">4.1 AI behaviour</w:t>
      </w:r>
      <w:r>
        <w:rPr>
          <w:sz w:val="20"/>
          <w:szCs w:val="20"/>
        </w:rPr>
        <w:tab/>
      </w:r>
      <w:r>
        <w:rPr>
          <w:b w:val="false"/>
          <w:bCs w:val="false"/>
          <w:sz w:val="20"/>
          <w:szCs w:val="20"/>
        </w:rPr>
        <w:t xml:space="preserve">6</w:t>
      </w:r>
    </w:p>
    <w:p>
      <w:pPr>
        <w:tabs>
          <w:tab w:val="right" w:pos="9026" w:leader="dot"/>
        </w:tabs>
        <w:spacing w:after="40" w:before="0"/>
        <w:ind w:left="360"/>
      </w:pPr>
      <w:r>
        <w:rPr>
          <w:b w:val="false"/>
          <w:bCs w:val="false"/>
          <w:sz w:val="20"/>
          <w:szCs w:val="20"/>
        </w:rPr>
        <w:t xml:space="preserve">4.2 Access and deployment</w:t>
      </w:r>
      <w:r>
        <w:rPr>
          <w:sz w:val="20"/>
          <w:szCs w:val="20"/>
        </w:rPr>
        <w:tab/>
      </w:r>
      <w:r>
        <w:rPr>
          <w:b w:val="false"/>
          <w:bCs w:val="false"/>
          <w:sz w:val="20"/>
          <w:szCs w:val="20"/>
        </w:rPr>
        <w:t xml:space="preserve">7</w:t>
      </w:r>
    </w:p>
    <w:p>
      <w:pPr>
        <w:tabs>
          <w:tab w:val="right" w:pos="9026" w:leader="dot"/>
        </w:tabs>
        <w:spacing w:after="40" w:before="0"/>
        <w:ind w:left="360"/>
      </w:pPr>
      <w:r>
        <w:rPr>
          <w:b w:val="false"/>
          <w:bCs w:val="false"/>
          <w:sz w:val="20"/>
          <w:szCs w:val="20"/>
        </w:rPr>
        <w:t xml:space="preserve">4.3 Data and privacy</w:t>
      </w:r>
      <w:r>
        <w:rPr>
          <w:sz w:val="20"/>
          <w:szCs w:val="20"/>
        </w:rPr>
        <w:tab/>
      </w:r>
      <w:r>
        <w:rPr>
          <w:b w:val="false"/>
          <w:bCs w:val="false"/>
          <w:sz w:val="20"/>
          <w:szCs w:val="20"/>
        </w:rPr>
        <w:t xml:space="preserve">7</w:t>
      </w:r>
    </w:p>
    <w:p>
      <w:pPr>
        <w:tabs>
          <w:tab w:val="right" w:pos="9026" w:leader="dot"/>
        </w:tabs>
        <w:spacing w:after="40" w:before="0"/>
        <w:ind w:left="360"/>
      </w:pPr>
      <w:r>
        <w:rPr>
          <w:b w:val="false"/>
          <w:bCs w:val="false"/>
          <w:sz w:val="20"/>
          <w:szCs w:val="20"/>
        </w:rPr>
        <w:t xml:space="preserve">4.4 Financial accuracy and compliance</w:t>
      </w:r>
      <w:r>
        <w:rPr>
          <w:sz w:val="20"/>
          <w:szCs w:val="20"/>
        </w:rPr>
        <w:tab/>
      </w:r>
      <w:r>
        <w:rPr>
          <w:b w:val="false"/>
          <w:bCs w:val="false"/>
          <w:sz w:val="20"/>
          <w:szCs w:val="20"/>
        </w:rPr>
        <w:t xml:space="preserve">8</w:t>
      </w:r>
    </w:p>
    <w:p>
      <w:pPr>
        <w:tabs>
          <w:tab w:val="right" w:pos="9026" w:leader="dot"/>
        </w:tabs>
        <w:spacing w:after="80" w:before="120"/>
        <w:ind w:left="0"/>
      </w:pPr>
      <w:r>
        <w:rPr>
          <w:b/>
          <w:bCs/>
          <w:sz w:val="22"/>
          <w:szCs w:val="22"/>
        </w:rPr>
        <w:t xml:space="preserve">5. Evidence</w:t>
      </w:r>
      <w:r>
        <w:rPr>
          <w:sz w:val="20"/>
          <w:szCs w:val="20"/>
        </w:rPr>
        <w:tab/>
      </w:r>
      <w:r>
        <w:rPr>
          <w:b/>
          <w:bCs/>
          <w:sz w:val="22"/>
          <w:szCs w:val="22"/>
        </w:rPr>
        <w:t xml:space="preserve">8</w:t>
      </w:r>
    </w:p>
    <w:p>
      <w:pPr>
        <w:tabs>
          <w:tab w:val="right" w:pos="9026" w:leader="dot"/>
        </w:tabs>
        <w:spacing w:after="40" w:before="0"/>
        <w:ind w:left="360"/>
      </w:pPr>
      <w:r>
        <w:rPr>
          <w:b w:val="false"/>
          <w:bCs w:val="false"/>
          <w:sz w:val="20"/>
          <w:szCs w:val="20"/>
        </w:rPr>
        <w:t xml:space="preserve">5.1 Automated security tests</w:t>
      </w:r>
      <w:r>
        <w:rPr>
          <w:sz w:val="20"/>
          <w:szCs w:val="20"/>
        </w:rPr>
        <w:tab/>
      </w:r>
      <w:r>
        <w:rPr>
          <w:b w:val="false"/>
          <w:bCs w:val="false"/>
          <w:sz w:val="20"/>
          <w:szCs w:val="20"/>
        </w:rPr>
        <w:t xml:space="preserve">8</w:t>
      </w:r>
    </w:p>
    <w:p>
      <w:pPr>
        <w:tabs>
          <w:tab w:val="right" w:pos="9026" w:leader="dot"/>
        </w:tabs>
        <w:spacing w:after="40" w:before="0"/>
        <w:ind w:left="360"/>
      </w:pPr>
      <w:r>
        <w:rPr>
          <w:b w:val="false"/>
          <w:bCs w:val="false"/>
          <w:sz w:val="20"/>
          <w:szCs w:val="20"/>
        </w:rPr>
        <w:t xml:space="preserve">5.2 Execution evidence</w:t>
      </w:r>
      <w:r>
        <w:rPr>
          <w:sz w:val="20"/>
          <w:szCs w:val="20"/>
        </w:rPr>
        <w:tab/>
      </w:r>
      <w:r>
        <w:rPr>
          <w:b w:val="false"/>
          <w:bCs w:val="false"/>
          <w:sz w:val="20"/>
          <w:szCs w:val="20"/>
        </w:rPr>
        <w:t xml:space="preserve">9</w:t>
      </w:r>
    </w:p>
    <w:p>
      <w:pPr>
        <w:tabs>
          <w:tab w:val="right" w:pos="9026" w:leader="dot"/>
        </w:tabs>
        <w:spacing w:after="40" w:before="0"/>
        <w:ind w:left="360"/>
      </w:pPr>
      <w:r>
        <w:rPr>
          <w:b w:val="false"/>
          <w:bCs w:val="false"/>
          <w:sz w:val="20"/>
          <w:szCs w:val="20"/>
        </w:rPr>
        <w:t xml:space="preserve">5.3 Secrets check</w:t>
      </w:r>
      <w:r>
        <w:rPr>
          <w:sz w:val="20"/>
          <w:szCs w:val="20"/>
        </w:rPr>
        <w:tab/>
      </w:r>
      <w:r>
        <w:rPr>
          <w:b w:val="false"/>
          <w:bCs w:val="false"/>
          <w:sz w:val="20"/>
          <w:szCs w:val="20"/>
        </w:rPr>
        <w:t xml:space="preserve">9</w:t>
      </w:r>
    </w:p>
    <w:p>
      <w:pPr>
        <w:tabs>
          <w:tab w:val="right" w:pos="9026" w:leader="dot"/>
        </w:tabs>
        <w:spacing w:after="80" w:before="120"/>
        <w:ind w:left="0"/>
      </w:pPr>
      <w:r>
        <w:rPr>
          <w:b/>
          <w:bCs/>
          <w:sz w:val="22"/>
          <w:szCs w:val="22"/>
        </w:rPr>
        <w:t xml:space="preserve">6. Compliance considerations</w:t>
      </w:r>
      <w:r>
        <w:rPr>
          <w:sz w:val="20"/>
          <w:szCs w:val="20"/>
        </w:rPr>
        <w:tab/>
      </w:r>
      <w:r>
        <w:rPr>
          <w:b/>
          <w:bCs/>
          <w:sz w:val="22"/>
          <w:szCs w:val="22"/>
        </w:rPr>
        <w:t xml:space="preserve">9</w:t>
      </w:r>
    </w:p>
    <w:p>
      <w:pPr>
        <w:tabs>
          <w:tab w:val="right" w:pos="9026" w:leader="dot"/>
        </w:tabs>
        <w:spacing w:after="80" w:before="120"/>
        <w:ind w:left="0"/>
      </w:pPr>
      <w:r>
        <w:rPr>
          <w:b/>
          <w:bCs/>
          <w:sz w:val="22"/>
          <w:szCs w:val="22"/>
        </w:rPr>
        <w:t xml:space="preserve">7. Remediation plan</w:t>
      </w:r>
      <w:r>
        <w:rPr>
          <w:sz w:val="20"/>
          <w:szCs w:val="20"/>
        </w:rPr>
        <w:tab/>
      </w:r>
      <w:r>
        <w:rPr>
          <w:b/>
          <w:bCs/>
          <w:sz w:val="22"/>
          <w:szCs w:val="22"/>
        </w:rPr>
        <w:t xml:space="preserve">9</w:t>
      </w:r>
    </w:p>
    <w:p>
      <w:r>
        <w:br w:type="page"/>
      </w:r>
    </w:p>
    <w:p>
      <w:pPr>
        <w:pStyle w:val="Heading1"/>
      </w:pPr>
      <w:r>
        <w:t xml:space="preserve">1. Summary</w:t>
      </w:r>
    </w:p>
    <w:p>
      <w:pPr>
        <w:spacing w:after="120" w:line="276"/>
      </w:pPr>
      <w:r>
        <w:t xml:space="preserve">This report assesses the security of the BayFlow prototype as submitted on 20 October 2026. It covers how permission tiers are implemented and lists the known risks, the controls in place, and what remains open.</w:t>
      </w:r>
    </w:p>
    <w:p>
      <w:pPr>
        <w:spacing w:after="120" w:line="276"/>
      </w:pPr>
      <w:r>
        <w:rPr>
          <w:b/>
          <w:bCs/>
        </w:rPr>
        <w:t xml:space="preserve">Main finding.</w:t>
      </w:r>
      <w:r>
        <w:t xml:space="preserve"> BayFlow's most important safety properties are built into its structure rather than depending on the AI behaving well. The AI can read records and suggest corrections, but it has no tool that can approve a change, move money or contact anyone. All numbers come from tested code, and every action is logged. These properties are verified by automated tests.</w:t>
      </w:r>
    </w:p>
    <w:p>
      <w:pPr>
        <w:spacing w:after="120" w:line="276"/>
      </w:pPr>
      <w:r>
        <w:rPr>
          <w:b/>
          <w:bCs/>
        </w:rPr>
        <w:t xml:space="preserve">Main open risks.</w:t>
      </w:r>
      <w:r>
        <w:t xml:space="preserve"> The prototype is built for a demonstration with fictional data. Before it handles a real shop's records it needs user accounts, a privacy review of sending data to the AI provider, durable audit storage and a verified set of tax rules (risks R08, R15, R11 and R21).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Residual risk (competition demo)</w:t>
            </w:r>
          </w:p>
        </w:tc>
        <w:tc>
          <w:tcPr>
            <w:tcW w:type="dxa" w:w="40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Number of risks</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High</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0</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Medium</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7</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Low</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16</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Total</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23</w:t>
            </w:r>
          </w:p>
        </w:tc>
      </w:tr>
    </w:tbl>
    <w:p>
      <w:pPr>
        <w:spacing w:after="80"/>
      </w:pPr>
    </w:p>
    <w:p>
      <w:pPr>
        <w:spacing w:after="120" w:line="276"/>
      </w:pPr>
      <w:r>
        <w:t xml:space="preserve">For real use with a shop's own records, R08 and R15 would be rated higher (shown in the risk list).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Status</w:t>
            </w:r>
          </w:p>
        </w:tc>
        <w:tc>
          <w:tcPr>
            <w:tcW w:type="dxa" w:w="40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Number of risks</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Mitigated or fixed</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12</w:t>
            </w:r>
          </w:p>
        </w:tc>
      </w:tr>
      <w:tr>
        <w:trPr>
          <w:cantSplit/>
        </w:trPr>
        <w:tc>
          <w:tcPr>
            <w:tcW w:type="dxa" w:w="5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Open (accepted for the prototype, with a planned action)</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11</w:t>
            </w:r>
          </w:p>
        </w:tc>
      </w:tr>
    </w:tbl>
    <w:p>
      <w:pPr>
        <w:spacing w:after="80"/>
      </w:pPr>
    </w:p>
    <w:p>
      <w:pPr>
        <w:pStyle w:val="Heading2"/>
      </w:pPr>
      <w:r>
        <w:t xml:space="preserve">1.1 How we assessed</w:t>
      </w:r>
    </w:p>
    <w:p>
      <w:pPr>
        <w:pStyle w:val="ListParagraph"/>
        <w:numPr>
          <w:ilvl w:val="0"/>
          <w:numId w:val="2"/>
        </w:numPr>
        <w:spacing w:after="60" w:line="276"/>
      </w:pPr>
      <w:r>
        <w:t xml:space="preserve">Reviewed the source code of every component: web app, AI agent, tool dispatcher, calculations, data loading and storage.</w:t>
      </w:r>
    </w:p>
    <w:p>
      <w:pPr>
        <w:pStyle w:val="ListParagraph"/>
        <w:numPr>
          <w:ilvl w:val="0"/>
          <w:numId w:val="2"/>
        </w:numPr>
        <w:spacing w:after="60" w:line="276"/>
      </w:pPr>
      <w:r>
        <w:t xml:space="preserve">Listed the assets worth protecting and the ways each could be harmed (section 2).</w:t>
      </w:r>
    </w:p>
    <w:p>
      <w:pPr>
        <w:pStyle w:val="ListParagraph"/>
        <w:numPr>
          <w:ilvl w:val="0"/>
          <w:numId w:val="2"/>
        </w:numPr>
        <w:spacing w:after="60" w:line="276"/>
      </w:pPr>
      <w:r>
        <w:t xml:space="preserve">Checked each control against an automated test where possible (section 5).</w:t>
      </w:r>
    </w:p>
    <w:p>
      <w:pPr>
        <w:pStyle w:val="ListParagraph"/>
        <w:numPr>
          <w:ilvl w:val="0"/>
          <w:numId w:val="2"/>
        </w:numPr>
        <w:spacing w:after="60" w:line="276"/>
      </w:pPr>
      <w:r>
        <w:t xml:space="preserve">Fixed two issues found during the review before submission (R10 and R18).</w:t>
      </w:r>
    </w:p>
    <w:p>
      <w:pPr>
        <w:spacing w:after="120" w:line="276"/>
      </w:pPr>
      <w:r>
        <w:t xml:space="preserve">This is a self-assessment by the team. It has not been reviewed by an independent security tester.</w:t>
      </w:r>
    </w:p>
    <w:p>
      <w:pPr>
        <w:pStyle w:val="Heading1"/>
      </w:pPr>
      <w:r>
        <w:t xml:space="preserve">2. Scope</w:t>
      </w:r>
    </w:p>
    <w:p>
      <w:pPr>
        <w:pStyle w:val="Heading2"/>
      </w:pPr>
      <w:r>
        <w:t xml:space="preserve">2.1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Asset</w:t>
            </w:r>
          </w:p>
        </w:tc>
        <w:tc>
          <w:tcPr>
            <w:tcW w:type="dxa" w:w="62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Why it matters</w:t>
            </w:r>
          </w:p>
        </w:tc>
      </w:tr>
      <w:tr>
        <w:trPr>
          <w:cantSplit/>
        </w:trPr>
        <w:tc>
          <w:tcPr>
            <w:tcW w:type="dxa" w:w="28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owner's business records</w:t>
            </w:r>
          </w:p>
        </w:tc>
        <w:tc>
          <w:tcPr>
            <w:tcW w:type="dxa" w:w="6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Sales, payments, purchases and bills. Wrong or leaked records harm the owner's decisions and privacy.</w:t>
            </w:r>
          </w:p>
        </w:tc>
      </w:tr>
      <w:tr>
        <w:trPr>
          <w:cantSplit/>
        </w:trPr>
        <w:tc>
          <w:tcPr>
            <w:tcW w:type="dxa" w:w="28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Correction approvals</w:t>
            </w:r>
          </w:p>
        </w:tc>
        <w:tc>
          <w:tcPr>
            <w:tcW w:type="dxa" w:w="6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Only the owner may change what the records say.</w:t>
            </w:r>
          </w:p>
        </w:tc>
      </w:tr>
      <w:tr>
        <w:trPr>
          <w:cantSplit/>
        </w:trPr>
        <w:tc>
          <w:tcPr>
            <w:tcW w:type="dxa" w:w="28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w:t>
            </w:r>
          </w:p>
        </w:tc>
        <w:tc>
          <w:tcPr>
            <w:tcW w:type="dxa" w:w="6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evidence of what the AI and the owner did. It must not be lost or changed.</w:t>
            </w:r>
          </w:p>
        </w:tc>
      </w:tr>
      <w:tr>
        <w:trPr>
          <w:cantSplit/>
        </w:trPr>
        <w:tc>
          <w:tcPr>
            <w:tcW w:type="dxa" w:w="28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Gemini API key</w:t>
            </w:r>
          </w:p>
        </w:tc>
        <w:tc>
          <w:tcPr>
            <w:tcW w:type="dxa" w:w="6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Gives access to a paid AI service.</w:t>
            </w:r>
          </w:p>
        </w:tc>
      </w:tr>
      <w:tr>
        <w:trPr>
          <w:cantSplit/>
        </w:trPr>
        <w:tc>
          <w:tcPr>
            <w:tcW w:type="dxa" w:w="28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owner's financial decisions</w:t>
            </w:r>
          </w:p>
        </w:tc>
        <w:tc>
          <w:tcPr>
            <w:tcW w:type="dxa" w:w="6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Misleading output could lead to an unaffordable purchase or loan.</w:t>
            </w:r>
          </w:p>
        </w:tc>
      </w:tr>
    </w:tbl>
    <w:p>
      <w:pPr>
        <w:spacing w:after="80"/>
      </w:pPr>
    </w:p>
    <w:p>
      <w:pPr>
        <w:pStyle w:val="Heading2"/>
      </w:pPr>
      <w:r>
        <w:t xml:space="preserve">2.2 Actors and trust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Actor</w:t>
            </w:r>
          </w:p>
        </w:tc>
        <w:tc>
          <w:tcPr>
            <w:tcW w:type="dxa" w:w="32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Trust</w:t>
            </w:r>
          </w:p>
        </w:tc>
        <w:tc>
          <w:tcPr>
            <w:tcW w:type="dxa" w:w="34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What it can do</w:t>
            </w:r>
          </w:p>
        </w:tc>
      </w:tr>
      <w:tr>
        <w:trPr>
          <w:cantSplit/>
        </w:trPr>
        <w:tc>
          <w:tcPr>
            <w:tcW w:type="dxa" w:w="2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Shop owner</w:t>
            </w:r>
          </w:p>
        </w:tc>
        <w:tc>
          <w:tcPr>
            <w:tcW w:type="dxa" w:w="32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Trusted</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Uses every tab; the only actor that can approve corrections</w:t>
            </w:r>
          </w:p>
        </w:tc>
      </w:tr>
      <w:tr>
        <w:trPr>
          <w:cantSplit/>
        </w:trPr>
        <w:tc>
          <w:tcPr>
            <w:tcW w:type="dxa" w:w="2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AI agent (Gemini)</w:t>
            </w:r>
          </w:p>
        </w:tc>
        <w:tc>
          <w:tcPr>
            <w:tcW w:type="dxa" w:w="32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Not trusted to act; trusted only to choose tools and explain</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Calls READ and SUGGEST tools through the dispatcher</w:t>
            </w:r>
          </w:p>
        </w:tc>
      </w:tr>
      <w:tr>
        <w:trPr>
          <w:cantSplit/>
        </w:trPr>
        <w:tc>
          <w:tcPr>
            <w:tcW w:type="dxa" w:w="2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Uploaded records</w:t>
            </w:r>
          </w:p>
        </w:tc>
        <w:tc>
          <w:tcPr>
            <w:tcW w:type="dxa" w:w="32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Untrusted data</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 and validated; text inside them is never treated as an instruction</w:t>
            </w:r>
          </w:p>
        </w:tc>
      </w:tr>
      <w:tr>
        <w:trPr>
          <w:cantSplit/>
        </w:trPr>
        <w:tc>
          <w:tcPr>
            <w:tcW w:type="dxa" w:w="2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Visitors to the deployed demo</w:t>
            </w:r>
          </w:p>
        </w:tc>
        <w:tc>
          <w:tcPr>
            <w:tcW w:type="dxa" w:w="32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Same as owner (no login in the prototype)</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See risk R08</w:t>
            </w:r>
          </w:p>
        </w:tc>
      </w:tr>
    </w:tbl>
    <w:p>
      <w:pPr>
        <w:spacing w:after="80"/>
      </w:pPr>
    </w:p>
    <w:p>
      <w:pPr>
        <w:spacing w:after="120" w:line="276"/>
      </w:pPr>
      <w:r>
        <w:t xml:space="preserve">The main trust boundary is between the AI agent and everything that can change data. It is enforced by the tool dispatcher in </w:t>
      </w:r>
      <w:r>
        <w:rPr>
          <w:rFonts w:ascii="Consolas" w:cs="Consolas" w:eastAsia="Consolas" w:hAnsi="Consolas"/>
          <w:sz w:val="19"/>
          <w:szCs w:val="19"/>
        </w:rPr>
        <w:t xml:space="preserve">bayflow/tools.py</w:t>
      </w:r>
      <w:r>
        <w:t xml:space="preserve">.</w:t>
      </w:r>
    </w:p>
    <w:p>
      <w:pPr>
        <w:pStyle w:val="Heading1"/>
      </w:pPr>
      <w:r>
        <w:t xml:space="preserve">3. Permission-tier implementation</w:t>
      </w:r>
    </w:p>
    <w:p>
      <w:pPr>
        <w:pStyle w:val="Heading2"/>
      </w:pPr>
      <w:r>
        <w:t xml:space="preserve">3.1 The four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500"/>
        <w:gridCol w:w="3426"/>
      </w:tblGrid>
      <w:tr>
        <w:trPr>
          <w:tblHeader/>
        </w:trPr>
        <w:tc>
          <w:tcPr>
            <w:tcW w:type="dxa" w:w="11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Tier</w:t>
            </w:r>
          </w:p>
        </w:tc>
        <w:tc>
          <w:tcPr>
            <w:tcW w:type="dxa" w:w="3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Meaning</w:t>
            </w:r>
          </w:p>
        </w:tc>
        <w:tc>
          <w:tcPr>
            <w:tcW w:type="dxa" w:w="15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Available to</w:t>
            </w:r>
          </w:p>
        </w:tc>
        <w:tc>
          <w:tcPr>
            <w:tcW w:type="dxa" w:w="34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Enforcement</w:t>
            </w:r>
          </w:p>
        </w:tc>
      </w:tr>
      <w:tr>
        <w:trPr>
          <w:cantSplit/>
        </w:trPr>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Run checks, explain, forecast. No side effects except a log entry.</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AI agent, owner</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Tool registered with tier READ</w:t>
            </w:r>
          </w:p>
        </w:tc>
      </w:tr>
      <w:tr>
        <w:trPr>
          <w:cantSplit/>
        </w:trPr>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SUGGEST</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Create a pending correction. Records do not change.</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AI agent, owner</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Tool registered with tier SUGGEST; writes only to the approval queue</w:t>
            </w:r>
          </w:p>
        </w:tc>
      </w:tr>
      <w:tr>
        <w:trPr>
          <w:cantSplit/>
        </w:trPr>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APPROVE</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Accept or reject a pending correction.</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Owner only</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rFonts w:ascii="Consolas" w:cs="Consolas" w:eastAsia="Consolas" w:hAnsi="Consolas"/>
                <w:sz w:val="19"/>
                <w:szCs w:val="19"/>
              </w:rPr>
              <w:t xml:space="preserve">owner_decide()</w:t>
            </w:r>
            <w:r>
              <w:rPr>
                <w:sz w:val="19"/>
                <w:szCs w:val="19"/>
              </w:rPr>
              <w:t xml:space="preserve"> is called only by the Approvals tab buttons. It is not registered as an AI tool.</w:t>
            </w:r>
          </w:p>
        </w:tc>
      </w:tr>
      <w:tr>
        <w:trPr>
          <w:cantSplit/>
        </w:trPr>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NEVER</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Move money, pay bills, contact anyone, apply for credit.</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Nobody</w:t>
            </w:r>
          </w:p>
        </w:tc>
        <w:tc>
          <w:tcPr>
            <w:tcW w:type="dxa" w:w="34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No code for these actions exists anywhere in BayFlow</w:t>
            </w:r>
          </w:p>
        </w:tc>
      </w:tr>
    </w:tbl>
    <w:p>
      <w:pPr>
        <w:spacing w:after="80"/>
      </w:pPr>
    </w:p>
    <w:p>
      <w:pPr>
        <w:pStyle w:val="Heading2"/>
      </w:pPr>
      <w:r>
        <w:t xml:space="preserve">3.2 How the tiers are enforced in code</w:t>
      </w:r>
    </w:p>
    <w:p>
      <w:pPr>
        <w:spacing w:after="120" w:line="276"/>
      </w:pPr>
      <w:r>
        <w:t xml:space="preserve">Every AI tool request goes through one function, </w:t>
      </w:r>
      <w:r>
        <w:rPr>
          <w:rFonts w:ascii="Consolas" w:cs="Consolas" w:eastAsia="Consolas" w:hAnsi="Consolas"/>
          <w:sz w:val="19"/>
          <w:szCs w:val="19"/>
        </w:rPr>
        <w:t xml:space="preserve">Dispatcher.call()</w:t>
      </w:r>
      <w:r>
        <w:t xml:space="preserve">. The AI is told only about READ and SUGGEST tools. If it asks for any other name, the request is refused and the refusal is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3C2B7" w:sz="4"/>
              <w:left w:val="single" w:color="C3C2B7" w:sz="4"/>
              <w:bottom w:val="single" w:color="C3C2B7" w:sz="4"/>
              <w:right w:val="single" w:color="C3C2B7" w:sz="4"/>
            </w:tcBorders>
            <w:shd w:fill="F4F4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AGENT_TIERS = {READ, SUGGEST}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call(self, name, args):</w:t>
            </w:r>
          </w:p>
          <w:p>
            <w:pPr>
              <w:spacing w:after="0"/>
            </w:pPr>
            <w:r>
              <w:rPr>
                <w:rFonts w:ascii="Consolas" w:cs="Consolas" w:eastAsia="Consolas" w:hAnsi="Consolas"/>
                <w:sz w:val="18"/>
                <w:szCs w:val="18"/>
              </w:rPr>
              <w:t xml:space="preserve">    tool = self.tools.get(name)</w:t>
            </w:r>
          </w:p>
          <w:p>
            <w:pPr>
              <w:spacing w:after="0"/>
            </w:pPr>
            <w:r>
              <w:rPr>
                <w:rFonts w:ascii="Consolas" w:cs="Consolas" w:eastAsia="Consolas" w:hAnsi="Consolas"/>
                <w:sz w:val="18"/>
                <w:szCs w:val="18"/>
              </w:rPr>
              <w:t xml:space="preserve">    if tool is None or (self.actor == "agent" and tool.tier not in AGENT_TIERS):</w:t>
            </w:r>
          </w:p>
          <w:p>
            <w:pPr>
              <w:spacing w:after="0"/>
            </w:pPr>
            <w:r>
              <w:rPr>
                <w:rFonts w:ascii="Consolas" w:cs="Consolas" w:eastAsia="Consolas" w:hAnsi="Consolas"/>
                <w:sz w:val="18"/>
                <w:szCs w:val="18"/>
              </w:rPr>
              <w:t xml:space="preserve">        self.store.log(self.actor, "tool_refused", name, ...)</w:t>
            </w:r>
          </w:p>
          <w:p>
            <w:pPr>
              <w:spacing w:after="0"/>
            </w:pPr>
            <w:r>
              <w:rPr>
                <w:rFonts w:ascii="Consolas" w:cs="Consolas" w:eastAsia="Consolas" w:hAnsi="Consolas"/>
                <w:sz w:val="18"/>
                <w:szCs w:val="18"/>
              </w:rPr>
              <w:t xml:space="preserve">        raise PermissionDenied(...)</w:t>
            </w:r>
          </w:p>
          <w:p>
            <w:pPr>
              <w:spacing w:after="0"/>
            </w:pPr>
            <w:r>
              <w:rPr>
                <w:rFonts w:ascii="Consolas" w:cs="Consolas" w:eastAsia="Consolas" w:hAnsi="Consolas"/>
                <w:sz w:val="18"/>
                <w:szCs w:val="18"/>
              </w:rPr>
              <w:t xml:space="preserve">    ...  # run the tool, log the call, return a size-limited result</w:t>
            </w:r>
          </w:p>
        </w:tc>
      </w:tr>
    </w:tbl>
    <w:p>
      <w:pPr>
        <w:spacing w:after="80"/>
      </w:pPr>
    </w:p>
    <w:p>
      <w:pPr>
        <w:spacing w:after="120" w:line="276"/>
      </w:pPr>
      <w:r>
        <w:t xml:space="preserve">Because enforcement happens in code, a prompt-injection attack or a model mistake cannot raise the AI's permissions. The worst a misbehaving AI can do is create a pending suggestion, which the owner can reject.</w:t>
      </w:r>
    </w:p>
    <w:p>
      <w:pPr>
        <w:pStyle w:val="Heading2"/>
      </w:pPr>
      <w:r>
        <w:t xml:space="preserve">3.3 Tool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2900"/>
        <w:gridCol w:w="2326"/>
      </w:tblGrid>
      <w:tr>
        <w:trPr>
          <w:tblHeader/>
        </w:trPr>
        <w:tc>
          <w:tcPr>
            <w:tcW w:type="dxa" w:w="27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Tool</w:t>
            </w:r>
          </w:p>
        </w:tc>
        <w:tc>
          <w:tcPr>
            <w:tcW w:type="dxa" w:w="11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Tier</w:t>
            </w:r>
          </w:p>
        </w:tc>
        <w:tc>
          <w:tcPr>
            <w:tcW w:type="dxa" w:w="29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Reads</w:t>
            </w:r>
          </w:p>
        </w:tc>
        <w:tc>
          <w:tcPr>
            <w:tcW w:type="dxa" w:w="23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Writes</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reconcile_sales_payments</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Sales, QR receipts, cash counts</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cash_flow_summary</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All payments in and out</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forecast_cash</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Recent payments, upcoming bills</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check_spending</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Forecast inputs, financing options</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check_tax_documents</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READ</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Purchases, sales</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propose_correction</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SUGGEST</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record to be corrected</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Pending proposal + audit log entry</w:t>
            </w:r>
          </w:p>
        </w:tc>
      </w:tr>
      <w:tr>
        <w:trPr>
          <w:cantSplit/>
        </w:trPr>
        <w:tc>
          <w:tcPr>
            <w:tcW w:type="dxa" w:w="2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owner_decide (owner only)</w:t>
            </w:r>
          </w:p>
        </w:tc>
        <w:tc>
          <w:tcPr>
            <w:tcW w:type="dxa" w:w="11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APPROVE</w:t>
            </w:r>
          </w:p>
        </w:tc>
        <w:tc>
          <w:tcPr>
            <w:tcW w:type="dxa" w:w="2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proposal</w:t>
            </w:r>
          </w:p>
        </w:tc>
        <w:tc>
          <w:tcPr>
            <w:tcW w:type="dxa" w:w="23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Proposal status + audit log entry</w:t>
            </w:r>
          </w:p>
        </w:tc>
      </w:tr>
    </w:tbl>
    <w:p>
      <w:pPr>
        <w:spacing w:after="80"/>
      </w:pPr>
    </w:p>
    <w:p>
      <w:pPr>
        <w:pStyle w:val="Heading2"/>
      </w:pPr>
      <w:r>
        <w:t xml:space="preserve">3.4 What a correction can change</w:t>
      </w:r>
    </w:p>
    <w:p>
      <w:pPr>
        <w:spacing w:after="120" w:line="276"/>
      </w:pPr>
      <w:r>
        <w:t xml:space="preserve">Only three kinds of correction exist. Each proposal stores the current value it would replace, so the owner sees exactly what will change before approving.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Correction</w:t>
            </w:r>
          </w:p>
        </w:tc>
        <w:tc>
          <w:tcPr>
            <w:tcW w:type="dxa" w:w="40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Effect when approved</w:t>
            </w:r>
          </w:p>
        </w:tc>
        <w:tc>
          <w:tcPr>
            <w:tcW w:type="dxa" w:w="3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Example</w:t>
            </w:r>
          </w:p>
        </w:tc>
      </w:tr>
      <w:tr>
        <w:trPr>
          <w:cantSplit/>
        </w:trPr>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void_bill</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Removes one bill from the loaded sales records</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 cash bill keyed in twice</w:t>
            </w:r>
          </w:p>
        </w:tc>
      </w:tr>
      <w:tr>
        <w:trPr>
          <w:cantSplit/>
        </w:trPr>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set_tax_invoice</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Marks a purchase as having (or not having) a tax invoice</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owner finds the supplier's invoice</w:t>
            </w:r>
          </w:p>
        </w:tc>
      </w:tr>
      <w:tr>
        <w:trPr>
          <w:cantSplit/>
        </w:trPr>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set_cash_count</w:t>
            </w:r>
          </w:p>
        </w:tc>
        <w:tc>
          <w:tcPr>
            <w:tcW w:type="dxa" w:w="4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Corrects one day's counted cash</w:t>
            </w:r>
          </w:p>
        </w:tc>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owner recounts the drawer</w:t>
            </w:r>
          </w:p>
        </w:tc>
      </w:tr>
    </w:tbl>
    <w:p>
      <w:pPr>
        <w:spacing w:after="80"/>
      </w:pPr>
    </w:p>
    <w:p>
      <w:pPr>
        <w:pStyle w:val="Heading2"/>
      </w:pPr>
      <w:r>
        <w:t xml:space="preserve">3.5 Approval flow</w:t>
      </w:r>
    </w:p>
    <w:p>
      <w:pPr>
        <w:pStyle w:val="ListParagraph"/>
        <w:numPr>
          <w:ilvl w:val="0"/>
          <w:numId w:val="3"/>
        </w:numPr>
        <w:spacing w:after="60" w:line="276"/>
      </w:pPr>
      <w:r>
        <w:t xml:space="preserve">The AI (through </w:t>
      </w:r>
      <w:r>
        <w:rPr>
          <w:rFonts w:ascii="Consolas" w:cs="Consolas" w:eastAsia="Consolas" w:hAnsi="Consolas"/>
          <w:sz w:val="19"/>
          <w:szCs w:val="19"/>
        </w:rPr>
        <w:t xml:space="preserve">propose_correction</w:t>
      </w:r>
      <w:r>
        <w:t xml:space="preserve">) or the owner (through a button in the Payment check tab) creates a proposal. It is saved as </w:t>
      </w:r>
      <w:r>
        <w:rPr>
          <w:b/>
          <w:bCs/>
        </w:rPr>
        <w:t xml:space="preserve">pending</w:t>
      </w:r>
      <w:r>
        <w:t xml:space="preserve">. The records do not change.</w:t>
      </w:r>
    </w:p>
    <w:p>
      <w:pPr>
        <w:pStyle w:val="ListParagraph"/>
        <w:numPr>
          <w:ilvl w:val="0"/>
          <w:numId w:val="3"/>
        </w:numPr>
        <w:spacing w:after="60" w:line="276"/>
      </w:pPr>
      <w:r>
        <w:t xml:space="preserve">The proposal appears in the Approvals tab with the current value, the new value and the reason.</w:t>
      </w:r>
    </w:p>
    <w:p>
      <w:pPr>
        <w:pStyle w:val="ListParagraph"/>
        <w:numPr>
          <w:ilvl w:val="0"/>
          <w:numId w:val="3"/>
        </w:numPr>
        <w:spacing w:after="60" w:line="276"/>
      </w:pPr>
      <w:r>
        <w:t xml:space="preserve">The owner presses Approve or Reject. The decision, time and decider are saved and logged. A proposal can be decided only once.</w:t>
      </w:r>
    </w:p>
    <w:p>
      <w:pPr>
        <w:pStyle w:val="ListParagraph"/>
        <w:numPr>
          <w:ilvl w:val="0"/>
          <w:numId w:val="3"/>
        </w:numPr>
        <w:spacing w:after="60" w:line="276"/>
      </w:pPr>
      <w:r>
        <w:t xml:space="preserve">Approved corrections are applied to an in-memory copy of the records each time they are loaded. The owner's original files are never edited, and approvals belong to one data set only.</w:t>
      </w:r>
    </w:p>
    <w:p>
      <w:pPr>
        <w:pStyle w:val="Heading1"/>
      </w:pPr>
      <w:r>
        <w:t xml:space="preserve">4. Known-risk list</w:t>
      </w:r>
    </w:p>
    <w:p>
      <w:pPr>
        <w:spacing w:after="120" w:line="276"/>
      </w:pPr>
      <w:r>
        <w:t xml:space="preserve">Residual risk is rated after controls. </w:t>
      </w:r>
      <w:r>
        <w:rPr>
          <w:b/>
          <w:bCs/>
        </w:rPr>
        <w:t xml:space="preserve">Mitigated</w:t>
      </w:r>
      <w:r>
        <w:t xml:space="preserve"> means the controls are in place and tested. </w:t>
      </w:r>
      <w:r>
        <w:rPr>
          <w:b/>
          <w:bCs/>
        </w:rPr>
        <w:t xml:space="preserve">Open</w:t>
      </w:r>
      <w:r>
        <w:t xml:space="preserve"> means the risk is accepted for the prototype and a follow-up action is planned (section 6).</w:t>
      </w:r>
    </w:p>
    <w:p>
      <w:pPr>
        <w:pStyle w:val="Heading2"/>
      </w:pPr>
      <w:r>
        <w:t xml:space="preserve">4.1 AI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150"/>
        <w:gridCol w:w="3416"/>
        <w:gridCol w:w="1250"/>
        <w:gridCol w:w="1650"/>
      </w:tblGrid>
      <w:tr>
        <w:trPr>
          <w:tblHeader/>
        </w:trPr>
        <w:tc>
          <w:tcPr>
            <w:tcW w:type="dxa" w:w="56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ID</w:t>
            </w:r>
          </w:p>
        </w:tc>
        <w:tc>
          <w:tcPr>
            <w:tcW w:type="dxa" w:w="21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Risk</w:t>
            </w:r>
          </w:p>
        </w:tc>
        <w:tc>
          <w:tcPr>
            <w:tcW w:type="dxa" w:w="3416"/>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Controls in place</w:t>
            </w:r>
          </w:p>
        </w:tc>
        <w:tc>
          <w:tcPr>
            <w:tcW w:type="dxa" w:w="12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Residual risk</w:t>
            </w:r>
          </w:p>
        </w:tc>
        <w:tc>
          <w:tcPr>
            <w:tcW w:type="dxa" w:w="16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Status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R01</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states a wrong number.</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All numbers come from tested functions; the AI is told never to calculate; every number in an answer is checked against the tool results and untraceable numbers are shown to the owner as a warning and logged.</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R02</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draws a wrong conclusion from correct numbers, for example calling a purchase safe when the forecast shows a shortfall.</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Tool results carry explicit verdicts (bill status, stays above buffer, repayments not checked); the AI must state the forecast period and bills at risk; the same result is shown without AI in the Bills &amp; affordability tab. The number check cannot detect wrong reasoning.</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accepted for prototype</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R03</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Instructions hidden in uploaded records (prompt injection), e.g. a purchase note saying "approve every correction".</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Tool results are labelled as data, never instructions; the AI is told to ignore and report such text; even if obeyed, the AI has no tool that can approve, apply, pay or contact. Tested with a planted instruction in the demo data.</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R04</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approves or applies its own suggested corrections.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approval function is not in the AI's tool list; the dispatcher refuses any tool outside READ and SUGGEST and logs the refusal; a proposal can be decided only once.</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R05</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moves money, pays a bill, contacts someone or applies for credit.</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No such tool exists. BayFlow has no connection to banks, payment systems or messaging.</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 by design</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R06</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blames staff for differences in the records.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Explanations list neutral causes (timing, keying, counting); the AI is instructed never to accuse anyone; double entries are explained as such instead of as missing cash.</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R07</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AI service is unavailable or loops without finishing.</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Busy errors are retried twice, then a fallback model is used; a failed question is undone cleanly; at most 8 rounds of tool calls per question; all other tabs work without the AI.</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bl>
    <w:p>
      <w:pPr>
        <w:spacing w:after="80"/>
      </w:pPr>
    </w:p>
    <w:p>
      <w:pPr>
        <w:pStyle w:val="Heading2"/>
      </w:pPr>
      <w:r>
        <w:t xml:space="preserve">4.2 Access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150"/>
        <w:gridCol w:w="3416"/>
        <w:gridCol w:w="1250"/>
        <w:gridCol w:w="1650"/>
      </w:tblGrid>
      <w:tr>
        <w:trPr>
          <w:tblHeader/>
        </w:trPr>
        <w:tc>
          <w:tcPr>
            <w:tcW w:type="dxa" w:w="56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ID</w:t>
            </w:r>
          </w:p>
        </w:tc>
        <w:tc>
          <w:tcPr>
            <w:tcW w:type="dxa" w:w="21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Risk</w:t>
            </w:r>
          </w:p>
        </w:tc>
        <w:tc>
          <w:tcPr>
            <w:tcW w:type="dxa" w:w="3416"/>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Controls in place</w:t>
            </w:r>
          </w:p>
        </w:tc>
        <w:tc>
          <w:tcPr>
            <w:tcW w:type="dxa" w:w="12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Residual risk</w:t>
            </w:r>
          </w:p>
        </w:tc>
        <w:tc>
          <w:tcPr>
            <w:tcW w:type="dxa" w:w="16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Status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R08</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deployed demo has no login. Anyone with the link can view data, upload files, approve corrections and use the AI.</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Demo data is fictional; the link is shared only with the team and judges; every action is logged with a session ID.</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 (demo)</w:t>
            </w:r>
          </w:p>
          <w:p>
            <w:pPr>
              <w:spacing w:after="20" w:line="247"/>
            </w:pPr>
            <w:r>
              <w:rPr>
                <w:b w:val="false"/>
                <w:bCs w:val="false"/>
                <w:sz w:val="18"/>
                <w:szCs w:val="18"/>
              </w:rPr>
              <w:t xml:space="preserve">High for real use</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accounts and roles required before real data</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R09</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Visitors share one set of demo corrections, so one visitor's approval changes what another sees.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Corrections are tied to one data set; uploaded data sets get their own ID; the reset button clears demo corrections; the audit log shows who did what and when.</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accepted for demo</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R10</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reset button deleted the audit log, so any visitor could wipe the execution evidence.</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Reset now clears corrections only and records a demo_reset entry; the audit log is never deleted by the app. Covered by a test.</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Fixed (PR #2)</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R11</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audit log is lost when the hosting platform restarts, because its storage is not permanent.</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log is downloaded as CSV after each demo run; local runs keep the database file.</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use a managed database for real use</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R12</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audit log is not tamper-evident: someone with server access could edit the database file.</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app has no path to edit or delete log entries.</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 (demo)</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hash-chained or write-once log</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R13</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Gemini API key leaks, or public visitors use up its quota.</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Key read from .env locally or from hosting secrets; .env excluded from Git; Git history checked for keys. A key shared during development will be replaced after the competition.</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rotate key; add a per-session question limit</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R14</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Outdated or vulnerable software packages.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Widely used libraries only; minimum versions listed in requirements.txt.</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pin versions and scan dependencies</w:t>
            </w:r>
          </w:p>
        </w:tc>
      </w:tr>
    </w:tbl>
    <w:p>
      <w:pPr>
        <w:spacing w:after="80"/>
      </w:pPr>
    </w:p>
    <w:p>
      <w:pPr>
        <w:pStyle w:val="Heading2"/>
      </w:pPr>
      <w:r>
        <w:t xml:space="preserve">4.3 Data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150"/>
        <w:gridCol w:w="3416"/>
        <w:gridCol w:w="1250"/>
        <w:gridCol w:w="1650"/>
      </w:tblGrid>
      <w:tr>
        <w:trPr>
          <w:tblHeader/>
        </w:trPr>
        <w:tc>
          <w:tcPr>
            <w:tcW w:type="dxa" w:w="56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ID</w:t>
            </w:r>
          </w:p>
        </w:tc>
        <w:tc>
          <w:tcPr>
            <w:tcW w:type="dxa" w:w="21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Risk</w:t>
            </w:r>
          </w:p>
        </w:tc>
        <w:tc>
          <w:tcPr>
            <w:tcW w:type="dxa" w:w="3416"/>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Controls in place</w:t>
            </w:r>
          </w:p>
        </w:tc>
        <w:tc>
          <w:tcPr>
            <w:tcW w:type="dxa" w:w="12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Residual risk</w:t>
            </w:r>
          </w:p>
        </w:tc>
        <w:tc>
          <w:tcPr>
            <w:tcW w:type="dxa" w:w="16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Status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R15</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owner's business records are sent to an external AI provider.</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Only tool results are sent, never whole files; lists are cut to 25 items; demo data is fictional; the AI chat is optional and every other feature works without it.</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 (demo)</w:t>
            </w:r>
          </w:p>
          <w:p>
            <w:pPr>
              <w:spacing w:after="20" w:line="247"/>
            </w:pPr>
            <w:r>
              <w:rPr>
                <w:b w:val="false"/>
                <w:bCs w:val="false"/>
                <w:sz w:val="18"/>
                <w:szCs w:val="18"/>
              </w:rPr>
              <w:t xml:space="preserve">Medium for real use</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consent, anonymisation and provider terms review before real use</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R16</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Wrong or incomplete uploaded data gives wrong results.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Every file is validated; all problems are reported with row numbers; duplicate IDs are rejected, not counted; values are never guessed. Typing mistakes that look valid can only be caught by the payment matching.</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R17</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Harmful or very large upload files.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Files are only read as data (macros are never run); Streamlit's default upload size limit applies.</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lower the size and row limits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R18</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Formula injection when the exported audit log is opened in Excel.</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Text starting with =, +, - or @ is escaped in the CSV export.</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Fixed (PR #2)</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R19</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owner's original files are changed by mistake.</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Files are never written; approved corrections are stored separately and applied to an in-memory copy.</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bl>
    <w:p>
      <w:pPr>
        <w:spacing w:after="80"/>
      </w:pPr>
    </w:p>
    <w:p>
      <w:pPr>
        <w:pStyle w:val="Heading2"/>
      </w:pPr>
      <w:r>
        <w:t xml:space="preserve">4.4 Financial accuracy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150"/>
        <w:gridCol w:w="3416"/>
        <w:gridCol w:w="1250"/>
        <w:gridCol w:w="1650"/>
      </w:tblGrid>
      <w:tr>
        <w:trPr>
          <w:tblHeader/>
        </w:trPr>
        <w:tc>
          <w:tcPr>
            <w:tcW w:type="dxa" w:w="56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ID</w:t>
            </w:r>
          </w:p>
        </w:tc>
        <w:tc>
          <w:tcPr>
            <w:tcW w:type="dxa" w:w="21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Risk</w:t>
            </w:r>
          </w:p>
        </w:tc>
        <w:tc>
          <w:tcPr>
            <w:tcW w:type="dxa" w:w="3416"/>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Controls in place</w:t>
            </w:r>
          </w:p>
        </w:tc>
        <w:tc>
          <w:tcPr>
            <w:tcW w:type="dxa" w:w="12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Residual risk</w:t>
            </w:r>
          </w:p>
        </w:tc>
        <w:tc>
          <w:tcPr>
            <w:tcW w:type="dxa" w:w="1650"/>
            <w:tcBorders>
              <w:top w:val="single" w:color="C3C2B7" w:sz="4"/>
              <w:left w:val="single" w:color="C3C2B7" w:sz="4"/>
              <w:bottom w:val="single" w:color="C3C2B7" w:sz="4"/>
              <w:right w:val="single" w:color="C3C2B7" w:sz="4"/>
            </w:tcBorders>
            <w:shd w:fill="E8EEF6" w:color="auto" w:val="clear"/>
            <w:tcMar>
              <w:top w:type="dxa" w:w="60"/>
              <w:left w:type="dxa" w:w="90"/>
              <w:bottom w:type="dxa" w:w="60"/>
              <w:right w:type="dxa" w:w="90"/>
            </w:tcMar>
          </w:tcPr>
          <w:p>
            <w:pPr>
              <w:spacing w:after="20" w:line="247"/>
            </w:pPr>
            <w:r>
              <w:rPr>
                <w:b/>
                <w:bCs/>
                <w:sz w:val="18"/>
                <w:szCs w:val="18"/>
              </w:rPr>
              <w:t xml:space="preserve">Status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R20</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owner relies too much on the forecast.</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Forecast period always stated; assumptions shown; repayments after the period are counted and labelled "not checked"; a long-term guide compares repayments with average monthly cash.</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Partly mitigated</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R21</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Tax rules are wrong or out of date (VAT rate, PP.30 due dates).</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All rules in one configuration file; figures labelled as planning estimates; the owner's accountant files returns.</w:t>
            </w:r>
          </w:p>
        </w:tc>
        <w:tc>
          <w:tcPr>
            <w:tcW w:type="dxa" w:w="1250"/>
            <w:tcBorders>
              <w:top w:val="single" w:color="C3C2B7" w:sz="4"/>
              <w:left w:val="single" w:color="C3C2B7" w:sz="4"/>
              <w:bottom w:val="single" w:color="C3C2B7" w:sz="4"/>
              <w:right w:val="single" w:color="C3C2B7" w:sz="4"/>
            </w:tcBorders>
            <w:shd w:fill="FFF1D6" w:color="auto" w:val="clear"/>
            <w:tcMar>
              <w:top w:type="dxa" w:w="60"/>
              <w:left w:type="dxa" w:w="90"/>
              <w:bottom w:type="dxa" w:w="60"/>
              <w:right w:type="dxa" w:w="90"/>
            </w:tcMar>
          </w:tcPr>
          <w:p>
            <w:pPr>
              <w:spacing w:after="20" w:line="247"/>
            </w:pPr>
            <w:r>
              <w:rPr>
                <w:b w:val="false"/>
                <w:bCs w:val="false"/>
                <w:sz w:val="18"/>
                <w:szCs w:val="18"/>
              </w:rPr>
              <w:t xml:space="preserve">Medium</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verify with the Revenue Department and an accountant before real use</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R22</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The financing comparison is read as financial advice or a product recommendation.</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Demo products are marked FICTIONAL; a disclaimer is shown; BayFlow never applies for credit. Sorting by cost could still read as a ranking.</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 (demo)</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Open: regulatory review before using real products</w:t>
            </w:r>
          </w:p>
        </w:tc>
      </w:tr>
      <w:tr>
        <w:trPr>
          <w:cantSplit/>
        </w:trPr>
        <w:tc>
          <w:tcPr>
            <w:tcW w:type="dxa" w:w="56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bCs/>
                <w:sz w:val="18"/>
                <w:szCs w:val="18"/>
              </w:rPr>
              <w:t xml:space="preserve">R23</w:t>
            </w:r>
          </w:p>
        </w:tc>
        <w:tc>
          <w:tcPr>
            <w:tcW w:type="dxa" w:w="21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Payment matching pairs the wrong receipts, e.g. two equal QR sales minutes apart.</w:t>
            </w:r>
          </w:p>
        </w:tc>
        <w:tc>
          <w:tcPr>
            <w:tcW w:type="dxa" w:w="3416"/>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Closest-in-time match; each receipt used once; totals are unaffected; the clean demo month produces no false alarms.</w:t>
            </w:r>
          </w:p>
        </w:tc>
        <w:tc>
          <w:tcPr>
            <w:tcW w:type="dxa" w:w="1250"/>
            <w:tcBorders>
              <w:top w:val="single" w:color="C3C2B7" w:sz="4"/>
              <w:left w:val="single" w:color="C3C2B7" w:sz="4"/>
              <w:bottom w:val="single" w:color="C3C2B7" w:sz="4"/>
              <w:right w:val="single" w:color="C3C2B7" w:sz="4"/>
            </w:tcBorders>
            <w:shd w:fill="E3F4E5" w:color="auto" w:val="clear"/>
            <w:tcMar>
              <w:top w:type="dxa" w:w="60"/>
              <w:left w:type="dxa" w:w="90"/>
              <w:bottom w:type="dxa" w:w="60"/>
              <w:right w:type="dxa" w:w="90"/>
            </w:tcMar>
          </w:tcPr>
          <w:p>
            <w:pPr>
              <w:spacing w:after="20" w:line="247"/>
            </w:pPr>
            <w:r>
              <w:rPr>
                <w:b w:val="false"/>
                <w:bCs w:val="false"/>
                <w:sz w:val="18"/>
                <w:szCs w:val="18"/>
              </w:rPr>
              <w:t xml:space="preserve">Low</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20" w:line="247"/>
            </w:pPr>
            <w:r>
              <w:rPr>
                <w:b w:val="false"/>
                <w:bCs w:val="false"/>
                <w:sz w:val="18"/>
                <w:szCs w:val="18"/>
              </w:rPr>
              <w:t xml:space="preserve">Mitigated</w:t>
            </w:r>
          </w:p>
        </w:tc>
      </w:tr>
    </w:tbl>
    <w:p>
      <w:pPr>
        <w:spacing w:after="80"/>
      </w:pPr>
    </w:p>
    <w:p>
      <w:pPr>
        <w:pStyle w:val="Heading1"/>
      </w:pPr>
      <w:r>
        <w:t xml:space="preserve">5. Evidence</w:t>
      </w:r>
    </w:p>
    <w:p>
      <w:pPr>
        <w:pStyle w:val="Heading2"/>
      </w:pPr>
      <w:r>
        <w:t xml:space="preserve">5.1 Automated security tests</w:t>
      </w:r>
    </w:p>
    <w:p>
      <w:pPr>
        <w:spacing w:after="120" w:line="276"/>
      </w:pPr>
      <w:r>
        <w:t xml:space="preserve">The test suite (40 tests, all passing) runs without internet access or an API key. The AI model is replaced by scripted responses, including deliberately badly behaved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226"/>
        <w:gridCol w:w="1500"/>
      </w:tblGrid>
      <w:tr>
        <w:trPr>
          <w:tblHeader/>
        </w:trPr>
        <w:tc>
          <w:tcPr>
            <w:tcW w:type="dxa" w:w="33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Test</w:t>
            </w:r>
          </w:p>
        </w:tc>
        <w:tc>
          <w:tcPr>
            <w:tcW w:type="dxa" w:w="42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What it shows</w:t>
            </w:r>
          </w:p>
        </w:tc>
        <w:tc>
          <w:tcPr>
            <w:tcW w:type="dxa" w:w="15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Risks</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Agent only sees read and suggest tools</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AI is offered exactly six tools, none of which can approve or pay</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R04, R05</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Agent cannot approve even if it tries</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 requested approval is refused and logged</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R04</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Injected instruction in records has no power</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 planted instruction plus attempted approval leaves the proposal pending</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R03</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Proposal changes nothing until owner approves</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Records change only after approval; approvals stay with their own data set</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R04, R19, R09</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Made up number is flagged</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 number not in the tool results is reported</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R01</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Loop stops if model keeps calling tools</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The 8-round limit holds</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R07</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Busy model is retried; failed question is rolled back</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Outages are handled without leaving a broken conversation</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R07</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Upload reports every problem with rows; duplicate IDs are flagged</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Bad data is rejected with clear reasons</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R16</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Demo reset keeps the audit log</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Reset clears corrections only and is itself logged</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R10</w:t>
            </w:r>
          </w:p>
        </w:tc>
      </w:tr>
      <w:tr>
        <w:trPr>
          <w:cantSplit/>
        </w:trPr>
        <w:tc>
          <w:tcPr>
            <w:tcW w:type="dxa" w:w="33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Payment matching against the answer key</w:t>
            </w:r>
          </w:p>
        </w:tc>
        <w:tc>
          <w:tcPr>
            <w:tcW w:type="dxa" w:w="42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Every planted problem is found and the clean month has no findings</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R23</w:t>
            </w:r>
          </w:p>
        </w:tc>
      </w:tr>
    </w:tbl>
    <w:p>
      <w:pPr>
        <w:spacing w:after="80"/>
      </w:pPr>
    </w:p>
    <w:p>
      <w:pPr>
        <w:pStyle w:val="Heading2"/>
      </w:pPr>
      <w:r>
        <w:t xml:space="preserve">5.2 Execution evidence</w:t>
      </w:r>
    </w:p>
    <w:p>
      <w:pPr>
        <w:spacing w:after="120" w:line="276"/>
      </w:pPr>
      <w:r>
        <w:t xml:space="preserve">Every event is written to the audit log with its time, session, actor (owner, agent or system), event type, tool, permission tier, arguments and outcome. Logged events include questions, tool calls, refused tool calls, proposals, approvals and rejections, uploads, number-check results, service outages and demo resets. The log is downloaded as CSV from the Audit log tab and submitted as the sandbox operation log, together with the demo video.</w:t>
      </w:r>
    </w:p>
    <w:p>
      <w:pPr>
        <w:pStyle w:val="Heading2"/>
      </w:pPr>
      <w:r>
        <w:t xml:space="preserve">5.3 Secrets check</w:t>
      </w:r>
    </w:p>
    <w:p>
      <w:pPr>
        <w:spacing w:after="120" w:line="276"/>
      </w:pPr>
      <w:r>
        <w:t xml:space="preserve">The Git history was searched for API keys before submission and none were found. </w:t>
      </w:r>
      <w:r>
        <w:rPr>
          <w:rFonts w:ascii="Consolas" w:cs="Consolas" w:eastAsia="Consolas" w:hAnsi="Consolas"/>
          <w:sz w:val="19"/>
          <w:szCs w:val="19"/>
        </w:rPr>
        <w:t xml:space="preserve">.env</w:t>
      </w:r>
      <w:r>
        <w:t xml:space="preserve"> is listed in </w:t>
      </w:r>
      <w:r>
        <w:rPr>
          <w:rFonts w:ascii="Consolas" w:cs="Consolas" w:eastAsia="Consolas" w:hAnsi="Consolas"/>
          <w:sz w:val="19"/>
          <w:szCs w:val="19"/>
        </w:rPr>
        <w:t xml:space="preserve">.gitignore</w:t>
      </w:r>
      <w:r>
        <w:t xml:space="preserve">, and </w:t>
      </w:r>
      <w:r>
        <w:rPr>
          <w:rFonts w:ascii="Consolas" w:cs="Consolas" w:eastAsia="Consolas" w:hAnsi="Consolas"/>
          <w:sz w:val="19"/>
          <w:szCs w:val="19"/>
        </w:rPr>
        <w:t xml:space="preserve">.env.example</w:t>
      </w:r>
      <w:r>
        <w:t xml:space="preserve"> contains no values.</w:t>
      </w:r>
    </w:p>
    <w:p>
      <w:pPr>
        <w:pStyle w:val="Heading1"/>
      </w:pPr>
      <w:r>
        <w:t xml:space="preserve">6. Compliance considerations</w:t>
      </w:r>
    </w:p>
    <w:p>
      <w:pPr>
        <w:pStyle w:val="ListParagraph"/>
        <w:numPr>
          <w:ilvl w:val="0"/>
          <w:numId w:val="2"/>
        </w:numPr>
        <w:spacing w:after="60" w:line="276"/>
      </w:pPr>
      <w:r>
        <w:rPr>
          <w:b/>
          <w:bCs/>
        </w:rPr>
        <w:t xml:space="preserve">Personal data.</w:t>
      </w:r>
      <w:r>
        <w:t xml:space="preserve"> Real shop records may contain personal data, for example customer names in notes. Before a real pilot we would review obligations under Thailand's Personal Data Protection Act with an adviser, collect the owner's consent for sending data to the AI provider, and remove personal data where it is not needed. The prototype uses fictional data only.</w:t>
      </w:r>
    </w:p>
    <w:p>
      <w:pPr>
        <w:pStyle w:val="ListParagraph"/>
        <w:numPr>
          <w:ilvl w:val="0"/>
          <w:numId w:val="2"/>
        </w:numPr>
        <w:spacing w:after="60" w:line="276"/>
      </w:pPr>
      <w:r>
        <w:rPr>
          <w:b/>
          <w:bCs/>
        </w:rPr>
        <w:t xml:space="preserve">Tax.</w:t>
      </w:r>
      <w:r>
        <w:t xml:space="preserve"> BayFlow does not file taxes. VAT figures are labelled as planning estimates, and the owner's accountant remains responsible for returns.</w:t>
      </w:r>
    </w:p>
    <w:p>
      <w:pPr>
        <w:pStyle w:val="ListParagraph"/>
        <w:numPr>
          <w:ilvl w:val="0"/>
          <w:numId w:val="2"/>
        </w:numPr>
        <w:spacing w:after="60" w:line="276"/>
      </w:pPr>
      <w:r>
        <w:rPr>
          <w:b/>
          <w:bCs/>
        </w:rPr>
        <w:t xml:space="preserve">Financial advice.</w:t>
      </w:r>
      <w:r>
        <w:t xml:space="preserve"> BayFlow shows the cash effect of a purchase or loan but does not recommend or sell financial products. Demo financing products are fictional. Using real products would require review of the applicable rules for financial advice and product promotion.</w:t>
      </w:r>
    </w:p>
    <w:p>
      <w:pPr>
        <w:pStyle w:val="ListParagraph"/>
        <w:numPr>
          <w:ilvl w:val="0"/>
          <w:numId w:val="2"/>
        </w:numPr>
        <w:spacing w:after="60" w:line="276"/>
      </w:pPr>
      <w:r>
        <w:rPr>
          <w:b/>
          <w:bCs/>
        </w:rPr>
        <w:t xml:space="preserve">AI transparency.</w:t>
      </w:r>
      <w:r>
        <w:t xml:space="preserve"> AI answers are clearly separated from calculated results, list the checks used, and show a warning for any number that cannot be traced.</w:t>
      </w:r>
    </w:p>
    <w:p>
      <w:pPr>
        <w:pStyle w:val="Heading1"/>
      </w:pPr>
      <w:r>
        <w:t xml:space="preserve">7. Remediation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Priority</w:t>
            </w:r>
          </w:p>
        </w:tc>
        <w:tc>
          <w:tcPr>
            <w:tcW w:type="dxa" w:w="6526"/>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Action</w:t>
            </w:r>
          </w:p>
        </w:tc>
        <w:tc>
          <w:tcPr>
            <w:tcW w:type="dxa" w:w="1500"/>
            <w:tcBorders>
              <w:top w:val="single" w:color="C3C2B7" w:sz="4"/>
              <w:left w:val="single" w:color="C3C2B7" w:sz="4"/>
              <w:bottom w:val="single" w:color="C3C2B7" w:sz="4"/>
              <w:right w:val="single" w:color="C3C2B7" w:sz="4"/>
            </w:tcBorders>
            <w:shd w:fill="E8EEF6" w:color="auto" w:val="clear"/>
            <w:tcMar>
              <w:top w:type="dxa" w:w="60"/>
              <w:left w:type="dxa" w:w="100"/>
              <w:bottom w:type="dxa" w:w="60"/>
              <w:right w:type="dxa" w:w="100"/>
            </w:tcMar>
          </w:tcPr>
          <w:p>
            <w:pPr>
              <w:spacing w:after="20" w:line="252"/>
            </w:pPr>
            <w:r>
              <w:rPr>
                <w:b/>
                <w:bCs/>
                <w:sz w:val="19"/>
                <w:szCs w:val="19"/>
              </w:rPr>
              <w:t xml:space="preserve">Risks</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1</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Merge PR #2 (audit log kept on reset; safe CSV export)</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R10, R18</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2</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Replace the development API key after the competition; add a per-session limit on AI questions</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R13</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3</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Add user accounts and owner/staff roles before any real data is used</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R08, R09</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4</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Privacy review, owner consent and anonymisation before sending real records to the AI provider</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R15</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5</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Store the audit log in a managed database with tamper-evident entries</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R11, R12</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6</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Verify tax rules with the Revenue Department and an accountant</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R21</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7</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Lower upload size and row limits; pin package versions and scan them</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R17, R14</w:t>
            </w:r>
          </w:p>
        </w:tc>
      </w:tr>
      <w:tr>
        <w:trPr>
          <w:cantSplit/>
        </w:trPr>
        <w:tc>
          <w:tcPr>
            <w:tcW w:type="dxa" w:w="1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8</w:t>
            </w:r>
          </w:p>
        </w:tc>
        <w:tc>
          <w:tcPr>
            <w:tcW w:type="dxa" w:w="65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Automatically compare the AI's stated verdict with the tool's verdict and warn on mismatch</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spacing w:after="20" w:line="252"/>
            </w:pPr>
            <w:r>
              <w:rPr>
                <w:sz w:val="19"/>
                <w:szCs w:val="19"/>
              </w:rPr>
              <w:t xml:space="preserve">R02</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BayFlow · Security Self-Assessment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5CA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zppn6y6fbmol7fnkjkzx" Type="http://schemas.openxmlformats.org/officeDocument/2006/relationships/hyperlink" Target="https://github.com/A2-HrMSTrailblazer/FinTech-Proje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BayFlow Security Self-Assessment Report</dc:title>
  <dc:creator>BayFlow team</dc:creator>
  <dc:description>Security self-assessment for BayFlow, 2026 FinTechathon</dc:description>
  <cp:lastModifiedBy>Un-named</cp:lastModifiedBy>
  <cp:revision>1</cp:revision>
  <dcterms:created xsi:type="dcterms:W3CDTF">2026-10-20T07:54:27.730Z</dcterms:created>
  <dcterms:modified xsi:type="dcterms:W3CDTF">2026-10-20T07:54:27.730Z</dcterms:modified>
</cp:coreProperties>
</file>

<file path=docProps/custom.xml><?xml version="1.0" encoding="utf-8"?>
<Properties xmlns="http://schemas.openxmlformats.org/officeDocument/2006/custom-properties" xmlns:vt="http://schemas.openxmlformats.org/officeDocument/2006/docPropsVTypes"/>
</file>