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Activity Unit V</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Aung Khaing Phyo</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People</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 1503-01 - AY 2026-T2</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Patience Wilson</w:t>
      </w:r>
    </w:p>
    <w:p w:rsidR="00000000" w:rsidDel="00000000" w:rsidP="00000000" w:rsidRDefault="00000000" w:rsidRPr="00000000" w14:paraId="0000001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December 2025</w: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kknqpjqhecw"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je5fq39a0uv" w:id="1"/>
      <w:bookmarkEnd w:id="1"/>
      <w:r w:rsidDel="00000000" w:rsidR="00000000" w:rsidRPr="00000000">
        <w:rPr>
          <w:rFonts w:ascii="Times New Roman" w:cs="Times New Roman" w:eastAsia="Times New Roman" w:hAnsi="Times New Roman"/>
          <w:b w:val="1"/>
          <w:bCs w:val="1"/>
          <w:sz w:val="46"/>
          <w:szCs w:val="46"/>
          <w:rtl w:val="0"/>
        </w:rPr>
        <w:t xml:space="preserve">Womenomics, Development Projects, and Globalization: A Critical Perspective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Globalization has reshaped how nations pursue development, redefining economic growth, social inclusion, and policy priorities. One of the more recent development strategies to emerge within this global framework is </w:t>
      </w:r>
      <w:r w:rsidDel="00000000" w:rsidR="00000000" w:rsidRPr="00000000">
        <w:rPr>
          <w:rFonts w:ascii="Times New Roman" w:cs="Times New Roman" w:eastAsia="Times New Roman" w:hAnsi="Times New Roman"/>
          <w:i w:val="1"/>
          <w:iCs w:val="1"/>
          <w:rtl w:val="0"/>
        </w:rPr>
        <w:t xml:space="preserve">womenomics</w:t>
      </w:r>
      <w:r w:rsidDel="00000000" w:rsidR="00000000" w:rsidRPr="00000000">
        <w:rPr>
          <w:rFonts w:ascii="Times New Roman" w:cs="Times New Roman" w:eastAsia="Times New Roman" w:hAnsi="Times New Roman"/>
          <w:rtl w:val="0"/>
        </w:rPr>
        <w:t xml:space="preserve">, a concept that emphasizes women’s economic participation as a driver of national growth. Examining womenomics alongside development projects reveals both opportunities and limitations in addressing inequality and sustainable development, particularly in developing countries such as Myanmar.</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ub4dg43nl2w" w:id="2"/>
      <w:bookmarkEnd w:id="2"/>
      <w:r w:rsidDel="00000000" w:rsidR="00000000" w:rsidRPr="00000000">
        <w:rPr>
          <w:rFonts w:ascii="Times New Roman" w:cs="Times New Roman" w:eastAsia="Times New Roman" w:hAnsi="Times New Roman"/>
          <w:b w:val="1"/>
          <w:bCs w:val="1"/>
          <w:sz w:val="34"/>
          <w:szCs w:val="34"/>
          <w:rtl w:val="0"/>
        </w:rPr>
        <w:t xml:space="preserve">The Concept of Womenomics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Womenomics is an economic strategy that promotes gender inclusivity by increasing women’s participation in the labor force, leadership, and decision-making roles. The concept gained prominence in Japan under Prime Minister Shinzo Abe, where declining birth rates and labor shortages made women’s economic inclusion a necessity rather than a social ideal (Elysia et al., 2023). Womenomics argues that economic growth cannot be sustained if half of the population remains underutilized.</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Elysia et al. (2023), womenomics focuses not only on employment but also on structural reforms such as childcare support, flexible work arrangements, and equal career advancement opportunities. Kathy Matsui’s TEDxTokyo talk reinforces this view, presenting womenomics as a pragmatic response to demographic and economic challenges rather than solely a feminist initiative (TEDx Talks, 2011). In this sense, womenomics aligns closely with broader global development goals that emphasize inclusivity, productivity, and social equity.</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4ie0tpanv1" w:id="3"/>
      <w:bookmarkEnd w:id="3"/>
      <w:r w:rsidDel="00000000" w:rsidR="00000000" w:rsidRPr="00000000">
        <w:rPr>
          <w:rFonts w:ascii="Times New Roman" w:cs="Times New Roman" w:eastAsia="Times New Roman" w:hAnsi="Times New Roman"/>
          <w:b w:val="1"/>
          <w:bCs w:val="1"/>
          <w:sz w:val="34"/>
          <w:szCs w:val="34"/>
          <w:rtl w:val="0"/>
        </w:rPr>
        <w:t xml:space="preserve">Application of Womenomics in Myanmar</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womenomics originated in Japan, its principles are highly relevant to Myanmar. Women in Myanmar participate actively in informal economic sectors such as agriculture, small-scale trade, and family businesses. However, their contributions are often undervalued, underpaid, or excluded from formal economic recognition. Applying womenomics in Myanmar would mean transitioning women from informal labor into protected, skill-enhanced, and economically empowered roles.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personal experience and observation, many women in Myanmar manage household finances, operate market stalls, or assist in agricultural production, yet have limited access to credit, training, or leadership opportunities. Development programs supported by international organizations have begun addressing this gap through microfinance initiatives and vocational training for women, particularly in rural areas. These efforts reflect womenomics principles by recognizing women as economic agents rather than dependents.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cultural norms and political instability pose challenges. Unlike Japan’s centralized policy framework, Myanmar lacks consistent governmental capacity to implement nationwide gender-focused economic reforms. As Setiawaty and Virgianita (2019) note, womenomics policies can also create tension in professional environments if gender inclusion is not accompanied by cultural and institutional support.</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gxam5eplpvj" w:id="4"/>
      <w:bookmarkEnd w:id="4"/>
      <w:r w:rsidDel="00000000" w:rsidR="00000000" w:rsidRPr="00000000">
        <w:rPr>
          <w:rFonts w:ascii="Times New Roman" w:cs="Times New Roman" w:eastAsia="Times New Roman" w:hAnsi="Times New Roman"/>
          <w:b w:val="1"/>
          <w:bCs w:val="1"/>
          <w:sz w:val="34"/>
          <w:szCs w:val="34"/>
          <w:rtl w:val="0"/>
        </w:rPr>
        <w:t xml:space="preserve">Development Projects in Myanmar: Article Summary</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relevant academic article examining multiple development projects in Myanmar is </w:t>
      </w:r>
      <w:r w:rsidDel="00000000" w:rsidR="00000000" w:rsidRPr="00000000">
        <w:rPr>
          <w:rFonts w:ascii="Times New Roman" w:cs="Times New Roman" w:eastAsia="Times New Roman" w:hAnsi="Times New Roman"/>
          <w:i w:val="1"/>
          <w:iCs w:val="1"/>
          <w:rtl w:val="0"/>
        </w:rPr>
        <w:t xml:space="preserve">“Inclusive Development and Infrastructure Projects in Myanmar’s Rural Economy”</w:t>
      </w:r>
      <w:r w:rsidDel="00000000" w:rsidR="00000000" w:rsidRPr="00000000">
        <w:rPr>
          <w:rFonts w:ascii="Times New Roman" w:cs="Times New Roman" w:eastAsia="Times New Roman" w:hAnsi="Times New Roman"/>
          <w:rtl w:val="0"/>
        </w:rPr>
        <w:t xml:space="preserve"> (United Nations Development Programme [UNDP], 2022). This article analyzes infrastructure, education, and livelihood projects aimed at improving rural resilience and economic participation, particularly among women and marginalized groups.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chose this article because it provides a multi-sectoral analysis of development rather than focusing on a single project. The article highlights initiatives such as rural road construction, women-focused agricultural cooperatives, and education access programs. These projects align with global development definitions that emphasize improving living standards, institutional capacity, and human capital (Council on Foreign Relations [CFR], 2024).</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article also critically assesses how political instability and economic inequality limit project effectiveness, reinforcing the idea that development must be contextual rather than universally applied.</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7d4jmsi58cv" w:id="5"/>
      <w:bookmarkEnd w:id="5"/>
      <w:r w:rsidDel="00000000" w:rsidR="00000000" w:rsidRPr="00000000">
        <w:rPr>
          <w:rFonts w:ascii="Times New Roman" w:cs="Times New Roman" w:eastAsia="Times New Roman" w:hAnsi="Times New Roman"/>
          <w:b w:val="1"/>
          <w:bCs w:val="1"/>
          <w:sz w:val="34"/>
          <w:szCs w:val="34"/>
          <w:rtl w:val="0"/>
        </w:rPr>
        <w:t xml:space="preserve">Advantages and Disadvantages of Development Projects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advantage of these development projects is their potential to reduce economic inequality and increase local productivity. Improved infrastructure enables market access, while women-focused programs enhance household income and community resilience. According to the CFR (2025), reducing inequality strengthens long-term economic stability and social cohesion.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there are notable disadvantages. Many projects depend heavily on external funding and lack sustainability once international support diminishes. Additionally, without strong governance structures, development initiatives may fail to reach the most vulnerable populations or may reinforce existing power imbalances. In Myanmar, political disruptions have further hindered long-term planning and project continuity.</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Womenomics-inspired projects also risk superficial implementation. Without addressing deeper social norms and labor protections, increasing women’s participation alone may result in exploitation rather than empowerment.</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u9qzejtk30k" w:id="6"/>
      <w:bookmarkEnd w:id="6"/>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Womenomics represents a compelling development strategy within globalization, emphasizing inclusion as a path to economic growth. While its application in Myanmar shows promise through women-centered development projects, structural, cultural, and political barriers limit its full realization. Effective development must therefore combine economic inclusion with institutional reform, local context awareness, and long-term sustainability.</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u5incwi94f5" w:id="7"/>
      <w:bookmarkEnd w:id="7"/>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29">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Council on Foreign Relations. (2024, January 16). </w:t>
      </w:r>
      <w:r w:rsidDel="00000000" w:rsidR="00000000" w:rsidRPr="00000000">
        <w:rPr>
          <w:rFonts w:ascii="Times New Roman" w:cs="Times New Roman" w:eastAsia="Times New Roman" w:hAnsi="Times New Roman"/>
          <w:i w:val="1"/>
          <w:iCs w:val="1"/>
          <w:rtl w:val="0"/>
        </w:rPr>
        <w:t xml:space="preserve">What is development?</w:t>
      </w:r>
      <w:r w:rsidDel="00000000" w:rsidR="00000000" w:rsidRPr="00000000">
        <w:rPr>
          <w:rFonts w:ascii="Times New Roman" w:cs="Times New Roman" w:eastAsia="Times New Roman" w:hAnsi="Times New Roman"/>
          <w:rtl w:val="0"/>
        </w:rPr>
        <w:t xml:space="preserve"> CFR Education.</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https://education.cfr.org/global-era-issues/development/what-is-development</w:t>
        </w:r>
      </w:hyperlink>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Council on Foreign Relations. (2025, June 9). </w:t>
      </w:r>
      <w:r w:rsidDel="00000000" w:rsidR="00000000" w:rsidRPr="00000000">
        <w:rPr>
          <w:rFonts w:ascii="Times New Roman" w:cs="Times New Roman" w:eastAsia="Times New Roman" w:hAnsi="Times New Roman"/>
          <w:i w:val="1"/>
          <w:iCs w:val="1"/>
          <w:rtl w:val="0"/>
        </w:rPr>
        <w:t xml:space="preserve">What is economic inequality?</w:t>
      </w:r>
      <w:r w:rsidDel="00000000" w:rsidR="00000000" w:rsidRPr="00000000">
        <w:rPr>
          <w:rFonts w:ascii="Times New Roman" w:cs="Times New Roman" w:eastAsia="Times New Roman" w:hAnsi="Times New Roman"/>
          <w:rtl w:val="0"/>
        </w:rPr>
        <w:t xml:space="preserve"> CFR Education.</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https://education.cfr.org/learn/reading/what-economic-inequality</w:t>
        </w:r>
      </w:hyperlink>
      <w:r w:rsidDel="00000000" w:rsidR="00000000" w:rsidRPr="00000000">
        <w:rPr>
          <w:rFonts w:ascii="Times New Roman" w:cs="Times New Roman" w:eastAsia="Times New Roman" w:hAnsi="Times New Roman"/>
          <w:rtl w:val="0"/>
        </w:rPr>
        <w:t xml:space="preserve">Elysia, J., Juniari, N. P., &amp; Devi, N. L. P. C. (2023). Womenomics: Gender inclusivity as a growth strategy in Japan. </w:t>
      </w:r>
      <w:r w:rsidDel="00000000" w:rsidR="00000000" w:rsidRPr="00000000">
        <w:rPr>
          <w:rFonts w:ascii="Times New Roman" w:cs="Times New Roman" w:eastAsia="Times New Roman" w:hAnsi="Times New Roman"/>
          <w:i w:val="1"/>
          <w:iCs w:val="1"/>
          <w:rtl w:val="0"/>
        </w:rPr>
        <w:t xml:space="preserve">Jurnal Transformasi Global, 10</w:t>
      </w:r>
      <w:r w:rsidDel="00000000" w:rsidR="00000000" w:rsidRPr="00000000">
        <w:rPr>
          <w:rFonts w:ascii="Times New Roman" w:cs="Times New Roman" w:eastAsia="Times New Roman" w:hAnsi="Times New Roman"/>
          <w:rtl w:val="0"/>
        </w:rPr>
        <w:t xml:space="preserve">(5), 47–58.</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https://transformasiglobal.ub.ac.id/index.php/trans/article/view/452/155</w:t>
        </w:r>
      </w:hyperlink>
      <w:r w:rsidDel="00000000" w:rsidR="00000000" w:rsidRPr="00000000">
        <w:rPr>
          <w:rFonts w:ascii="Times New Roman" w:cs="Times New Roman" w:eastAsia="Times New Roman" w:hAnsi="Times New Roman"/>
          <w:rtl w:val="0"/>
        </w:rPr>
        <w:t xml:space="preserve">Setiawaty, D. A., &amp; Virgianita, A. (2019). Implications of womenomics on the relationship between female and male workers in the professional and social environment. In </w:t>
      </w:r>
      <w:r w:rsidDel="00000000" w:rsidR="00000000" w:rsidRPr="00000000">
        <w:rPr>
          <w:rFonts w:ascii="Times New Roman" w:cs="Times New Roman" w:eastAsia="Times New Roman" w:hAnsi="Times New Roman"/>
          <w:i w:val="1"/>
          <w:iCs w:val="1"/>
          <w:rtl w:val="0"/>
        </w:rPr>
        <w:t xml:space="preserve">Proceedings of the 2nd International Conference on Strategic and Global Studies</w:t>
      </w:r>
      <w:r w:rsidDel="00000000" w:rsidR="00000000" w:rsidRPr="00000000">
        <w:rPr>
          <w:rFonts w:ascii="Times New Roman" w:cs="Times New Roman" w:eastAsia="Times New Roman" w:hAnsi="Times New Roman"/>
          <w:rtl w:val="0"/>
        </w:rPr>
        <w:t xml:space="preserve">. EAI.</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https://eudl.eu/pdf/10.4108/eai.24-10-2018.2289659</w:t>
        </w:r>
      </w:hyperlink>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TEDx Talks. (2011, May 21). </w:t>
      </w:r>
      <w:r w:rsidDel="00000000" w:rsidR="00000000" w:rsidRPr="00000000">
        <w:rPr>
          <w:rFonts w:ascii="Times New Roman" w:cs="Times New Roman" w:eastAsia="Times New Roman" w:hAnsi="Times New Roman"/>
          <w:i w:val="1"/>
          <w:iCs w:val="1"/>
          <w:rtl w:val="0"/>
        </w:rPr>
        <w:t xml:space="preserve">TEDxTokyo – Kathy Matsui – Womenomics</w:t>
      </w:r>
      <w:r w:rsidDel="00000000" w:rsidR="00000000" w:rsidRPr="00000000">
        <w:rPr>
          <w:rFonts w:ascii="Times New Roman" w:cs="Times New Roman" w:eastAsia="Times New Roman" w:hAnsi="Times New Roman"/>
          <w:rtl w:val="0"/>
        </w:rPr>
        <w:t xml:space="preserve"> [Video]. YouTube.</w:t>
      </w:r>
    </w:p>
    <w:p w:rsidR="00000000" w:rsidDel="00000000" w:rsidP="00000000" w:rsidRDefault="00000000" w:rsidRPr="00000000" w14:paraId="0000002C">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World Bank Group. (2023, April 26). </w:t>
      </w:r>
      <w:r w:rsidDel="00000000" w:rsidR="00000000" w:rsidRPr="00000000">
        <w:rPr>
          <w:rFonts w:ascii="Times New Roman" w:cs="Times New Roman" w:eastAsia="Times New Roman" w:hAnsi="Times New Roman"/>
          <w:i w:val="1"/>
          <w:iCs w:val="1"/>
          <w:rtl w:val="0"/>
        </w:rPr>
        <w:t xml:space="preserve">Summary of the World Development Report 2023: Key findings</w:t>
      </w:r>
      <w:r w:rsidDel="00000000" w:rsidR="00000000" w:rsidRPr="00000000">
        <w:rPr>
          <w:rFonts w:ascii="Times New Roman" w:cs="Times New Roman" w:eastAsia="Times New Roman" w:hAnsi="Times New Roman"/>
          <w:rtl w:val="0"/>
        </w:rPr>
        <w:t xml:space="preserve"> [Video].</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https://www.worldbank.org/en/news/video/2023/04/26/summary-of-the-world-development-report-2023-key-findings</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ransformasiglobal.ub.ac.id/index.php/trans/article/view/452/155" TargetMode="External"/><Relationship Id="rId10" Type="http://schemas.openxmlformats.org/officeDocument/2006/relationships/hyperlink" Target="https://transformasiglobal.ub.ac.id/index.php/trans/article/view/452/155" TargetMode="External"/><Relationship Id="rId13" Type="http://schemas.openxmlformats.org/officeDocument/2006/relationships/hyperlink" Target="https://eudl.eu/pdf/10.4108/eai.24-10-2018.2289659" TargetMode="External"/><Relationship Id="rId12" Type="http://schemas.openxmlformats.org/officeDocument/2006/relationships/hyperlink" Target="https://eudl.eu/pdf/10.4108/eai.24-10-2018.22896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ucation.cfr.org/learn/reading/what-economic-inequality" TargetMode="External"/><Relationship Id="rId15" Type="http://schemas.openxmlformats.org/officeDocument/2006/relationships/hyperlink" Target="https://www.worldbank.org/en/news/video/2023/04/26/summary-of-the-world-development-report-2023-key-findings" TargetMode="External"/><Relationship Id="rId14" Type="http://schemas.openxmlformats.org/officeDocument/2006/relationships/hyperlink" Target="https://www.worldbank.org/en/news/video/2023/04/26/summary-of-the-world-development-report-2023-key-findings" TargetMode="External"/><Relationship Id="rId5" Type="http://schemas.openxmlformats.org/officeDocument/2006/relationships/styles" Target="styles.xml"/><Relationship Id="rId6" Type="http://schemas.openxmlformats.org/officeDocument/2006/relationships/hyperlink" Target="https://education.cfr.org/global-era-issues/development/what-is-development" TargetMode="External"/><Relationship Id="rId7" Type="http://schemas.openxmlformats.org/officeDocument/2006/relationships/hyperlink" Target="https://education.cfr.org/global-era-issues/development/what-is-development" TargetMode="External"/><Relationship Id="rId8" Type="http://schemas.openxmlformats.org/officeDocument/2006/relationships/hyperlink" Target="https://education.cfr.org/learn/reading/what-economic-ine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