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8636CA" w14:textId="38B72888" w:rsidR="00D305BC" w:rsidRDefault="006A5A9F" w:rsidP="006A5A9F">
      <w:pPr>
        <w:pStyle w:val="Caption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Pharmacokinetic Parameters of Theophylline</w:t>
      </w:r>
    </w:p>
    <w:p w14:paraId="7E10103E" w14:textId="59AD8B3F" w:rsidR="006A5A9F" w:rsidRPr="006A5A9F" w:rsidRDefault="006A5A9F" w:rsidP="006A5A9F">
      <w:r>
        <w:t>{rpfy}:theoph-pk-parameters.csv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sectPr w:rsidR="006A5A9F" w:rsidRPr="006A5A9F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A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A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A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A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A5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A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A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A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A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A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customXml" Target="../customXml/item1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8848F1-298D-B043-B858-936A0F171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2025-01-08T16:39:00Z</dcterms:created>
  <dcterms:modified xsi:type="dcterms:W3CDTF">2025-01-15T15:43:59Z</dcterms:modified>
</cp:coreProperties>
</file>