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8636CA" w14:textId="38B72888" w:rsidR="00D305BC" w:rsidRDefault="006A5A9F" w:rsidP="006A5A9F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>: Pharmacokinetic Parameters of Theophylline</w:t>
      </w:r>
    </w:p>
    <w:p w14:paraId="7E10103E" w14:textId="59AD8B3F" w:rsidR="006A5A9F" w:rsidRPr="006A5A9F" w:rsidRDefault="006A5A9F" w:rsidP="006A5A9F">
      <w:pPr>
        <w:keepNext/>
      </w:pPr>
      <w:r>
        <w:t>{rpfy}:theoph-pk-parameters.csv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  <w:tblDescription w:val="{rpfy}:theoph-pk-parameters.csv"/>
      </w:tblPr>
      <w:tr>
        <w:trPr>
          <w:cantSplit/>
          <w:trHeight w:val="38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Subject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Tmax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AUC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WTBL</w:t>
            </w:r>
          </w:p>
        </w:tc>
      </w:tr>
      <w:tr>
        <w:trPr>
          <w:cantSplit/>
          <w:trHeight w:val="33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71.69701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80.0</w:t>
            </w:r>
          </w:p>
        </w:tc>
      </w:tr>
      <w:tr>
        <w:trPr>
          <w:cantSplit/>
          <w:trHeight w:val="339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87.96923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64.6</w:t>
            </w:r>
          </w:p>
        </w:tc>
      </w:tr>
      <w:tr>
        <w:trPr>
          <w:cantSplit/>
          <w:trHeight w:val="339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86.80656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77.89347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65.0</w:t>
            </w:r>
          </w:p>
        </w:tc>
      </w:tr>
      <w:tr>
        <w:trPr>
          <w:cantSplit/>
          <w:trHeight w:val="339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95.87820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70.5</w:t>
            </w:r>
          </w:p>
        </w:tc>
      </w:tr>
      <w:tr>
        <w:trPr>
          <w:cantSplit/>
          <w:trHeight w:val="339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88.73128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72.4</w:t>
            </w:r>
          </w:p>
        </w:tc>
      </w:tr>
      <w:tr>
        <w:trPr>
          <w:cantSplit/>
          <w:trHeight w:val="339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102.63362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72.7</w:t>
            </w:r>
          </w:p>
        </w:tc>
      </w:tr>
      <w:tr>
        <w:trPr>
          <w:cantSplit/>
          <w:trHeight w:val="339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83.93743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86.4</w:t>
            </w:r>
          </w:p>
        </w:tc>
      </w:tr>
      <w:tr>
        <w:trPr>
          <w:cantSplit/>
          <w:trHeight w:val="339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115.22021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60.5</w:t>
            </w:r>
          </w:p>
        </w:tc>
      </w:tr>
      <w:tr>
        <w:trPr>
          <w:cantSplit/>
          <w:trHeight w:val="339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135.57607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58.2</w:t>
            </w:r>
          </w:p>
        </w:tc>
      </w:tr>
      <w:tr>
        <w:trPr>
          <w:cantSplit/>
          <w:trHeight w:val="339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147.23475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79.6</w:t>
            </w:r>
          </w:p>
        </w:tc>
      </w:tr>
      <w:tr>
        <w:trPr>
          <w:cantSplit/>
          <w:trHeight w:val="339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11.40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118.17935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</w:pPr>
            <w:r>
              <w:rPr>
                <w:rFonts w:ascii="Arial Narrow" w:hAnsi="Arial Narrow" w:eastAsia="Arial Narrow" w:cs="Arial Narrow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54.6</w:t>
            </w:r>
          </w:p>
        </w:tc>
      </w:tr>
    </w:tbl>
    <w:sectPr w:rsidR="006A5A9F" w:rsidRPr="006A5A9F">
      <w:pgSz w:w="12240" w:h="15840"/>
      <w:pgMar w:top="1440" w:right="1440" w:bottom="1440" w:left="1440" w:header="720" w:footer="720" w:gutter="0"/>
      <w:cols w:space="720"/>
      <w:docGrid w:linePitch="360"/>
      <w:type w:val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w="http://schemas.openxmlformats.org/wordprocessingml/2006/main">
  <w:zoom w:percent="160"/>
  <w:defaultTabStop w:val="720"/>
  <w:hyphenationZone w:val="360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A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A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A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A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6A5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A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A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A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A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A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A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A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A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A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A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A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A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A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A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8848F1-298D-B043-B858-936A0F171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>Jacob Dumbleton</dc:creator>
  <cp:keywords/>
  <dc:description/>
  <cp:lastModifiedBy>jacob</cp:lastModifiedBy>
  <cp:revision>1</cp:revision>
  <dcterms:created xsi:type="dcterms:W3CDTF">2025-01-08T16:39:00Z</dcterms:created>
  <dcterms:modified xsi:type="dcterms:W3CDTF">2025-09-19T15:49:44Z</dcterms:modified>
</cp:coreProperties>
</file>