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dditional-file-1-supplementary-tables"/>
    <w:p>
      <w:pPr>
        <w:pStyle w:val="Heading1"/>
      </w:pPr>
      <w:r>
        <w:t xml:space="preserve">Additional file 1: Supplementary tables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p>
      <w:pPr>
        <w:pStyle w:val="BodyText"/>
      </w:pPr>
      <w:r>
        <w:rPr>
          <w:bCs/>
          <w:b/>
        </w:rPr>
        <w:t xml:space="preserve">Table S1</w:t>
      </w:r>
      <w:r>
        <w:t xml:space="preserve"> </w:t>
      </w:r>
      <w:r>
        <w:t xml:space="preserve">Sample 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Form submissions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439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screening question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(questionnaire skipped)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incomplete Likert responses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Analytic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passed screening question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Yes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responded before screening question was added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 (same answer on all 20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</w:t>
      </w:r>
      <w:r>
        <w:t xml:space="preserve"> </w:t>
      </w:r>
      <w:r>
        <w:t xml:space="preserve">Questionnaire items (English and Arabic)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Construct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English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Arabic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regularly conducts strategic assessments related to environmental threats.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تقوم مؤسستنا بإجراء تقييمات استراتيجية للمخاطر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use structured tools (e.g., SWOT or PESTEL) for strategic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نستخدم أدوات منهجية (مثل SWOT أو PESTEL) في التخطيط الاستراتيجي.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considered when prioritising institutional goals.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أخذ المخاطر البيئية في الاعتبار عند تحديد أولويات المؤسسة.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plans are developed with input from multiple departments.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إعداد الخطط الاستراتيجية لدينا بمشاركة عدة إدارات.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update strategic assessments regularly in response to changing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بتحديث التقييمات الاستراتيجية بانتظام استجابةً لتغير المخاطر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integrates environmental preparedness into strategic documents.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تدمج مؤسستنا الاستعداد البيئي في الوثائق الاستراتيجية.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planning aligns with national strategies (e.g., Egypt Vision 2030, SDGs).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يتماشى التخطيط الاستراتيجي لدينا مع الاستراتيجيات الوطنية (مثل رؤية مصر 2030 وأهداف التنمية المستدامة)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clear coordination between crisis management and planning teams.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يوجد تنسيق واضح بين فرق إدارة الأزمات والتخطيط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reflected in our policy and budget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تنعكس المخاطر البيئية في تخطيط السياسات والموازنات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 is supported by leadership at all institutional levels.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يحظى التخطيط الاستراتيجي بدعم القيادة على جميع المستويات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Staff are trained to respond to environmental health emergencies.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تدريب الموظفين على الاستجابة لحالات الطوارئ الصحية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allocates financial resources for environmental preparedness.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تخصص مؤسستنا موارد مالية للاستعداد البيئي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invest in infrastructure or equipment related to climate and health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نستثمر في البنية التحتية أو المعدات المتعلقة بالمناخ ومخاطر الصحة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Interdepartmental cooperation is encouraged to build institutional capacity.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تشجيع التعاون بين الإدارات لبناء القدرات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a continuous effort to develop planning and response capabilities.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هناك جهود مستمرة لتطوير قدرات التخطيط والاستجابة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learns from previous crises to improve future responses.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تتعلم مؤسستنا من الأزمات السابقة لتحسين الاستجابة المستقبلية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Simulation drills or exercises are conducted regularly.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تُجرى تدريبات أو تمارين محاكاة بانتظام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monitor and evaluate our environmental preparedness performance.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برصد وتقييم أداء الاستعداد البيئي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Feedback from past events is used to update strategic plans.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استخدام التغذية الراجعة من الأحداث السابقة لتحديث الخطط الاستراتيجية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adapt our operations and structures in response to emerging crises.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بتكييف عملياتنا وهياكلنا استجابةً للأزمات الناشئة</w:t>
            </w:r>
          </w:p>
        </w:tc>
      </w:tr>
    </w:tbl>
    <w:p>
      <w:pPr>
        <w:pStyle w:val="BodyText"/>
      </w:pPr>
      <w:r>
        <w:t xml:space="preserve">All items were rated on a seven-point scale (1 = strongly disagree; 7 = strongly agree).</w:t>
      </w:r>
    </w:p>
    <w:p>
      <w:pPr>
        <w:pStyle w:val="BodyText"/>
      </w:pPr>
      <w:r>
        <w:rPr>
          <w:bCs/>
          <w:b/>
        </w:rPr>
        <w:t xml:space="preserve">Table S3</w:t>
      </w:r>
      <w:r>
        <w:t xml:space="preserve"> </w:t>
      </w:r>
      <w:r>
        <w:t xml:space="preserve">Item statistics and standardised factor loadings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Mean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1–4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Item–rest 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(full)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(excl. straight-liners)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65.1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76.9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75.5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67.8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78.6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S4</w:t>
      </w:r>
      <w:r>
        <w:t xml:space="preserve"> </w:t>
      </w:r>
      <w:r>
        <w:t xml:space="preserve">Response-style diagnostics and Harman single-factor 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Indicator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answer on all 20 items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all 7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strongly agree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% of items answered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within-person 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Any item answered 1-3 (disagreement)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152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variance, first component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Eigenvalues &gt; 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68.25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70.0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61.67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64.62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S5</w:t>
      </w:r>
      <w:r>
        <w:t xml:space="preserve"> </w:t>
      </w:r>
      <w:r>
        <w:t xml:space="preserve">Observed-score mediation in all analysis samples (unstandardised coefficients; 95% percentile bootstrap CI, 5,000 resamples)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Specification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c′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Indirect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Proportion mediated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[1.02,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[0.59,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[−0.01,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[0.65,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 [0.54, 1.01]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402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[1.02, 1.33]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[−0.04,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[0.65, 1.28]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 [0.54, 1.03]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1.16 [1.01, 1.32]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[0.56,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0.34 [−0.00, 0.62]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[0.62, 1.25]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 [0.51, 1.00]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1.14 [0.99, 1.31]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0.27 [−0.07, 0.57]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[0.64,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[0.54, 1.07]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199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[0.98, 1.37]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0.26 [−0.15,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[0.64,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 [0.55, 1.14]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[1.01, 1.30]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[0.60,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0.28 [−0.05,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[0.66, 1.23]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[0.55, 1.04]</w:t>
            </w:r>
          </w:p>
        </w:tc>
      </w:tr>
    </w:tbl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2026-10-20T20:10:06Z</dcterms:created>
  <dcterms:modified xsi:type="dcterms:W3CDTF">2026-10-20T20:10:06Z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