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The Editor</w:t>
      </w:r>
      <w:r>
        <w:t xml:space="preserve"> </w:t>
      </w:r>
      <w:r>
        <w:rPr>
          <w:iCs/>
          <w:i/>
        </w:rPr>
        <w:t xml:space="preserve">BMC Health Services Research</w:t>
      </w:r>
    </w:p>
    <w:p>
      <w:pPr>
        <w:pStyle w:val="BodyText"/>
      </w:pPr>
      <w:r>
        <w:t xml:space="preserve">Dear Editor,</w:t>
      </w:r>
    </w:p>
    <w:p>
      <w:pPr>
        <w:pStyle w:val="BodyText"/>
      </w:pPr>
      <w:r>
        <w:t xml:space="preserve">We are pleased to submit our manuscript,</w:t>
      </w:r>
      <w:r>
        <w:t xml:space="preserve"> </w:t>
      </w:r>
      <w:r>
        <w:rPr>
          <w:bCs/>
          <w:b/>
        </w:rPr>
        <w:t xml:space="preserve">“</w:t>
      </w:r>
      <w:r>
        <w:rPr>
          <w:bCs/>
          <w:b/>
        </w:rPr>
        <w:t xml:space="preserve">Strategic Planning and Institutional Resilience in Cairo’s Health Sector: Examining the Mediating Role of Capacity Development in the Context of Environmental Crisis Management</w:t>
      </w:r>
      <w:r>
        <w:rPr>
          <w:bCs/>
          <w:b/>
        </w:rPr>
        <w:t xml:space="preserve">”</w:t>
      </w:r>
      <w:r>
        <w:t xml:space="preserve">, for consideration as a Research Article in</w:t>
      </w:r>
      <w:r>
        <w:t xml:space="preserve"> </w:t>
      </w:r>
      <w:r>
        <w:rPr>
          <w:iCs/>
          <w:i/>
        </w:rPr>
        <w:t xml:space="preserve">BMC Health Services Research</w:t>
      </w:r>
      <w:r>
        <w:t xml:space="preserve">.</w:t>
      </w:r>
    </w:p>
    <w:p>
      <w:pPr>
        <w:pStyle w:val="BodyText"/>
      </w:pPr>
      <w:r>
        <w:t xml:space="preserve">Heatwaves, flooding and air pollution increasingly disrupt health services, and health institutions are expected to plan for them. Yet there is little quantitative evidence on how planning becomes resilience, particularly in North African megacities. Using a bilingual survey of 416 health-sector managers in Cairo, Egypt, we tested whether capacity development (training, earmarked resources, climate-relevant infrastructure and interdepartmental cooperation) mediates the association between environment-aware strategic planning and institutional resilience.</w:t>
      </w:r>
    </w:p>
    <w:p>
      <w:pPr>
        <w:pStyle w:val="BodyText"/>
      </w:pPr>
      <w:r>
        <w:t xml:space="preserve">The main findings are:</w:t>
      </w:r>
    </w:p>
    <w:p>
      <w:pPr>
        <w:numPr>
          <w:ilvl w:val="0"/>
          <w:numId w:val="1001"/>
        </w:numPr>
        <w:pStyle w:val="Compact"/>
      </w:pPr>
      <w:r>
        <w:t xml:space="preserve">Strategic planning was associated with resilience almost entirely through capacity development (indirect β = 0.84, 95% CI 0.69–1.00), with no detectable direct association.</w:t>
      </w:r>
    </w:p>
    <w:p>
      <w:pPr>
        <w:numPr>
          <w:ilvl w:val="0"/>
          <w:numId w:val="1001"/>
        </w:numPr>
        <w:pStyle w:val="Compact"/>
      </w:pPr>
      <w:r>
        <w:t xml:space="preserve">The pattern held in screened respondents, after excluding uniform and repeat submissions, after adjusting for respondent characteristics, and after modelling a common-method factor.</w:t>
      </w:r>
    </w:p>
    <w:p>
      <w:pPr>
        <w:numPr>
          <w:ilvl w:val="0"/>
          <w:numId w:val="1001"/>
        </w:numPr>
        <w:pStyle w:val="Compact"/>
      </w:pPr>
      <w:r>
        <w:t xml:space="preserve">We report the study’s limitations openly: capacity development and resilience are highly correlated as measured, an equivalent reverse-order model fits equally well, and responses cluster at the scale maximum. We interpret the findings accordingly, as identifying priorities rather than establishing causation.</w:t>
      </w:r>
    </w:p>
    <w:p>
      <w:pPr>
        <w:pStyle w:val="FirstParagraph"/>
      </w:pPr>
      <w:r>
        <w:t xml:space="preserve">We believe the work suits the journal’s readership because it addresses the organisational processes that link preparedness planning to health-service resilience, and it gives managers and regulators concrete, monitorable targets. The study follows the STROBE and CHERRIES reporting guidelines (checklists provided as Additional files 2 and 3). The anonymised dataset, codebook and complete analysis code are openly available at https://github.com/A2022KR/strategic-planning-resilience-egypt.</w:t>
      </w:r>
    </w:p>
    <w:p>
      <w:pPr>
        <w:pStyle w:val="BodyText"/>
      </w:pPr>
      <w:r>
        <w:t xml:space="preserve">The study was approved by the Research Ethics Committee of the Environmental Studies &amp; Research Institute, University of Sadat City (REC/ESRI/USC/10/20-05-2025). This manuscript has not been published and is not under consideration for publication elsewhere. Both authors have approved the manuscript and agree with its submission. The authors declare no competing interests.</w:t>
      </w:r>
    </w:p>
    <w:p>
      <w:pPr>
        <w:pStyle w:val="BodyText"/>
      </w:pPr>
      <w:r>
        <w:t xml:space="preserve">Thank you for considering our manuscript.</w:t>
      </w:r>
    </w:p>
    <w:p>
      <w:pPr>
        <w:pStyle w:val="BodyText"/>
      </w:pPr>
      <w:r>
        <w:t xml:space="preserve">Yours sincerely,</w:t>
      </w:r>
    </w:p>
    <w:p>
      <w:pPr>
        <w:pStyle w:val="BodyText"/>
      </w:pPr>
      <w:r>
        <w:t xml:space="preserve">Ahmed Hamza (ORCID 0009-0006-2101-7866)</w:t>
      </w:r>
      <w:r>
        <w:t xml:space="preserve"> </w:t>
      </w:r>
      <w:r>
        <w:t xml:space="preserve">Environmental Studies and Research Institute (ESRI), University of Sadat City, Egypt</w:t>
      </w:r>
      <w:r>
        <w:t xml:space="preserve"> </w:t>
      </w:r>
      <w:r>
        <w:t xml:space="preserve">ahmed.hamza@esri.usc.edu.eg</w:t>
      </w:r>
    </w:p>
    <w:p>
      <w:pPr>
        <w:pStyle w:val="BodyText"/>
      </w:pPr>
      <w:r>
        <w:t xml:space="preserve">On behalf of all authors: Ahmed Hamza and Mahmoud S. Abousekken (ORCID 0000-0002-2544-616X)</w:t>
      </w:r>
    </w:p>
    <w:sectPr>
      <w:footerReference w:type="default" r:id="rId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pPr>
    <w:rPr>
      <w:rFonts w:ascii="Times New Roman" w:hAnsi="Times New Roman"/>
      <w:sz w:val="24"/>
    </w:rPr>
  </w:style>
  <w:style w:styleId="BodyText" w:type="paragraph">
    <w:name w:val="Body Text"/>
    <w:basedOn w:val="Normal"/>
    <w:link w:val="BodyTextChar"/>
    <w:pPr>
      <w:spacing w:after="180" w:before="180" w:line="276" w:lineRule="auto"/>
    </w:pPr>
    <w:qFormat/>
    <w:rPr>
      <w:rFonts w:ascii="Times New Roman" w:hAnsi="Times New Roman"/>
      <w:sz w:val="24"/>
    </w:rPr>
  </w:style>
  <w:style w:customStyle="1" w:styleId="FirstParagraph" w:type="paragraph">
    <w:name w:val="First Paragraph"/>
    <w:basedOn w:val="BodyText"/>
    <w:next w:val="BodyText"/>
    <w:qFormat/>
    <w:pPr>
      <w:spacing w:line="276" w:lineRule="auto"/>
    </w:pPr>
    <w:rPr>
      <w:rFonts w:ascii="Times New Roman" w:hAnsi="Times New Roman"/>
      <w:sz w:val="24"/>
    </w:rPr>
  </w:style>
  <w:style w:customStyle="1" w:styleId="Compact" w:type="paragraph">
    <w:name w:val="Compact"/>
    <w:basedOn w:val="BodyText"/>
    <w:qFormat/>
    <w:pPr>
      <w:spacing w:after="36" w:before="36" w:line="276" w:lineRule="auto"/>
    </w:pPr>
    <w:rPr>
      <w:rFonts w:ascii="Times New Roman" w:hAnsi="Times New Roman"/>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2026-10-17T10:24:57Z</dcterms:created>
  <dcterms:modified xsi:type="dcterms:W3CDTF">2026-10-17T10:24:57Z</dcterms:modified>
</cp:coreProperties>
</file>

<file path=docProps/custom.xml><?xml version="1.0" encoding="utf-8"?>
<Properties xmlns="http://schemas.openxmlformats.org/officeDocument/2006/custom-properties" xmlns:vt="http://schemas.openxmlformats.org/officeDocument/2006/docPropsVTypes"/>
</file>