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13fa063d0b4c62be376e204d50c1fdda046121"/>
    <w:p>
      <w:pPr>
        <w:pStyle w:val="Heading1"/>
      </w:pPr>
      <w:r>
        <w:t xml:space="preserve">Additional file 3: CHERRIES checklist for web-based surveys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 category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Checklist 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Response in this study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survey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Cross-sectional, open (non-password-protected) web survey of a purposive (convenience) sample of health-sector managers and supervisors in Cairo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IRB approval and 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IRB approval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Research Ethics Committee, ESRI, University of Sadat City (REC/ESRI/USC/10/20-05-2025, 20 May 2025)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 form opened with study information and a consent statement, before any question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protection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names, e-mail or IP addresses collected; timestamps, job titles and free text removed from the shared dataset; raw export held by the authors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Development and pre-testing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Development and 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Items developed from the literature, reviewed by subject-matter experts and piloted before fielding (Methods: Measures)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Recruitment process and description of the sample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 versus closed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Contact mode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Online only; no initial personal contact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Advertising the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Link shared via professional networks and health-sector groups on WhatsApp, LinkedIn and Facebook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Survey administration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Web/e-mail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 (Google Forms)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Context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Professional social-media groups and messaging networks used by health-sector staff in Cairo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Mandatory/voluntary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Voluntary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Incentives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Time/date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 June–10 August 2025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Randomisation of items or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No; fixed item order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Adaptive questioning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Yes. From 20 July 2025 an eligibility question opened the form; respondents answering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(n = 23) were routed out before the questionnaire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items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 screening question, 5 demographic questions (including job title) and 20 Likert items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screens (pages)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All questionnaire items on one page (preceded, from 20 July 2025, by the eligibility question)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Completeness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missing Likert responses among the 416 analysed submissions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Review step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Yes; respondents could review and change answers before submitting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Response rates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Unique site visitor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(Google Forms does not record visitors)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View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(open link)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416 of 439 submissions completed the questionnaire (the remaining 23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 the eligibility question and were routed out)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Preventing multiple entries from the same individual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Cookies used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IP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Log file 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Registration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Post hoc identification of submissions identical to an earlier one on all demographics, job title and items (n = 161); analyses repeated without them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Handling of incomplete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incomplete questionnaires among eligible respondents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Questionnaires submitted with an atypical timestamp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assessed (completion times not recorded)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correction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 (no weighting); robustness analyses in four samples</w:t>
            </w:r>
          </w:p>
        </w:tc>
      </w:tr>
    </w:tbl>
    <w:p>
      <w:pPr>
        <w:pStyle w:val="BodyText"/>
      </w:pPr>
      <w:r>
        <w:t xml:space="preserve">Checklist from Eysenbach G. Improving the quality of web surveys: the Checklist for Reporting Results of Internet E-Surveys (CHERRIES). J Med Internet Res. 2004;6(3):e34.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2026-10-17T11:15:09Z</dcterms:created>
  <dcterms:modified xsi:type="dcterms:W3CDTF">2026-10-17T11:15:09Z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