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and</w:t>
      </w:r>
      <w:r>
        <w:t xml:space="preserve"> </w:t>
      </w:r>
      <w:r>
        <w:rPr>
          <w:bCs/>
          <w:b/>
        </w:rPr>
        <w:t xml:space="preserve">Mahmoud S. Abousekken</w:t>
      </w:r>
      <w:r>
        <w:rPr>
          <w:vertAlign w:val="superscript"/>
        </w:rPr>
        <w:t xml:space="preserve">1</w:t>
      </w:r>
    </w:p>
    <w:p>
      <w:pPr>
        <w:pStyle w:val="BodyText"/>
      </w:pPr>
      <w:r>
        <w:rPr>
          <w:vertAlign w:val="superscript"/>
        </w:rPr>
        <w:t xml:space="preserve">1</w:t>
      </w:r>
      <w:r>
        <w:t xml:space="preserve"> </w:t>
      </w:r>
      <w:r>
        <w:t xml:space="preserve">Environmental Studies and Research Institute (ESRI), University of Sadat City, Sadat City, Egypt</w:t>
      </w:r>
    </w:p>
    <w:p>
      <w:pPr>
        <w:pStyle w:val="BodyText"/>
      </w:pPr>
      <w:r>
        <w:t xml:space="preserve">ORCID: A.H. 0009-0006-2101-7866; M.S.A. 0000-0002-2544-616X</w:t>
      </w:r>
    </w:p>
    <w:p>
      <w:pPr>
        <w:pStyle w:val="BodyText"/>
      </w:pPr>
      <w:r>
        <w:t xml:space="preserve">*Corresponding author: ahmed.hamza@esri.usc.edu.eg</w:t>
      </w:r>
    </w:p>
    <w:bookmarkStart w:id="20" w:name="abstract"/>
    <w:p>
      <w:pPr>
        <w:pStyle w:val="Heading1"/>
      </w:pPr>
      <w:r>
        <w:t xml:space="preserve">Abstract</w:t>
      </w:r>
    </w:p>
    <w:p>
      <w:pPr>
        <w:pStyle w:val="FirstParagraph"/>
      </w:pPr>
      <w:r>
        <w:t xml:space="preserve">Climate-related hazards such as extreme heat, flooding and air pollution place growing demands on health institutions, yet evidence on what makes them resilient is scarce for North African megacities. We surveyed 416 managers in Cairo’s health sector, mostly in private hospitals, to test whether capacity development mediates the link between strategic planning and institutional resilience. In ordinal structural equation models, planning was strongly associated with capacity development (β = 0.92), and its association with resilience ran almost entirely through capacity development (indirect β = 0.84, 95% CI 0.69–1.00; direct β = 0.06, not significant). This held after excluding the half of respondents who gave uniform maximum ratings. However, capacity development and resilience were barely distinguishable empirically (latent r = 0.97). Planning that is translated into training, resourcing and coordination appears to be the route to resilience; objective, multi-source indicators are needed to confirm it.</w:t>
      </w:r>
    </w:p>
    <w:p>
      <w:pPr>
        <w:pStyle w:val="BodyText"/>
      </w:pPr>
      <w:r>
        <w:rPr>
          <w:bCs/>
          <w:b/>
        </w:rPr>
        <w:t xml:space="preserve">Keywords:</w:t>
      </w:r>
      <w:r>
        <w:t xml:space="preserve"> </w:t>
      </w:r>
      <w:r>
        <w:t xml:space="preserve">strategic planning; institutional resilience; capacity development; climate-resilient health systems; environmental crisis management; Egypt</w:t>
      </w:r>
    </w:p>
    <w:bookmarkEnd w:id="20"/>
    <w:bookmarkStart w:id="21" w:name="introduction"/>
    <w:p>
      <w:pPr>
        <w:pStyle w:val="Heading1"/>
      </w:pPr>
      <w:r>
        <w:t xml:space="preserve">Introduction</w:t>
      </w:r>
    </w:p>
    <w:p>
      <w:pPr>
        <w:pStyle w:val="FirstParagraph"/>
      </w:pPr>
      <w:r>
        <w:t xml:space="preserve">Environmental crises, ranging from heatwaves and water scarcity to air pollution, flooding and climate-sensitive infectious disease, are now a routine operating condition for health systems rather than an exceptional one</w:t>
      </w:r>
      <w:r>
        <w:t xml:space="preserve"> </w:t>
      </w:r>
      <w:r>
        <w:rPr>
          <w:vertAlign w:val="superscript"/>
        </w:rPr>
        <w:t xml:space="preserve">1</w:t>
      </w:r>
      <w:r>
        <w:t xml:space="preserve">. They raise demand for care at the very moment they disrupt the energy, water, supply chains and staff on which care depends. The World Health Organization’s operational framework for climate-resilient health systems therefore treats leadership and governance, health workforce, information systems and emergency preparedness as the building blocks through which institutions anticipate, absorb and adapt to climate shocks</w:t>
      </w:r>
      <w:r>
        <w:t xml:space="preserve"> </w:t>
      </w:r>
      <w:r>
        <w:rPr>
          <w:vertAlign w:val="superscript"/>
        </w:rPr>
        <w:t xml:space="preserve">2,3</w:t>
      </w:r>
      <w:r>
        <w:t xml:space="preserve">, and guidance for health-care facilities places workforce, water and sanitation, energy and infrastructure at the centre of climate resilience</w:t>
      </w:r>
      <w:r>
        <w:t xml:space="preserve"> </w:t>
      </w:r>
      <w:r>
        <w:rPr>
          <w:vertAlign w:val="superscript"/>
        </w:rPr>
        <w:t xml:space="preserve">4</w:t>
      </w:r>
      <w:r>
        <w:t xml:space="preserve">. The Sendai Framework similarly calls for disaster risk to be integrated into the planning and investment decisions of health facilities</w:t>
      </w:r>
      <w:r>
        <w:t xml:space="preserve"> </w:t>
      </w:r>
      <w:r>
        <w:rPr>
          <w:vertAlign w:val="superscript"/>
        </w:rPr>
        <w:t xml:space="preserve">5</w:t>
      </w:r>
      <w:r>
        <w:t xml:space="preserve">.</w:t>
      </w:r>
    </w:p>
    <w:p>
      <w:pPr>
        <w:pStyle w:val="BodyText"/>
      </w:pPr>
      <w:r>
        <w:t xml:space="preserve">Egypt illustrates the stakes. The country is highly exposed to rising temperatures, water stress and sea-level rise, and its National Climate Change Strategy 2050 identifies health among the sectors needing adaptation</w:t>
      </w:r>
      <w:r>
        <w:t xml:space="preserve"> </w:t>
      </w:r>
      <w:r>
        <w:rPr>
          <w:vertAlign w:val="superscript"/>
        </w:rPr>
        <w:t xml:space="preserve">6</w:t>
      </w:r>
      <w:r>
        <w:t xml:space="preserve">. Greater Cairo concentrates more than 20 million people and a large share of the country’s hospital capacity, including a fast-growing private sector. Heatwaves there have become more frequent, intense and prolonged, and coincide with episodes of poor air quality</w:t>
      </w:r>
      <w:r>
        <w:t xml:space="preserve"> </w:t>
      </w:r>
      <w:r>
        <w:rPr>
          <w:vertAlign w:val="superscript"/>
        </w:rPr>
        <w:t xml:space="preserve">7</w:t>
      </w:r>
      <w:r>
        <w:t xml:space="preserve">, while the COVID-19 pandemic exposed critical-care capacity gaps in Egyptian hospitals</w:t>
      </w:r>
      <w:r>
        <w:t xml:space="preserve"> </w:t>
      </w:r>
      <w:r>
        <w:rPr>
          <w:vertAlign w:val="superscript"/>
        </w:rPr>
        <w:t xml:space="preserve">8</w:t>
      </w:r>
      <w:r>
        <w:t xml:space="preserve">. The hosting of COP27 in Sharm El-Sheikh in 2022 and the roll-out of universal health insurance have increased policy attention to how health institutions prepare for environmental risk. Yet empirical evidence on the internal organisational processes that make Egyptian health institutions resilient remains thin, and earlier work by our group, reviewing the role of strategic planning in environmental crisis management, called for quantitative tests of how planning translates into crisis capability</w:t>
      </w:r>
      <w:r>
        <w:t xml:space="preserve"> </w:t>
      </w:r>
      <w:r>
        <w:rPr>
          <w:vertAlign w:val="superscript"/>
        </w:rPr>
        <w:t xml:space="preserve">9</w:t>
      </w:r>
      <w:r>
        <w:t xml:space="preserve">.</w:t>
      </w:r>
    </w:p>
    <w:p>
      <w:pPr>
        <w:pStyle w:val="BodyText"/>
      </w:pPr>
      <w:r>
        <w:t xml:space="preserve">Resilience scholarship increasingly treats institutional resilience as a set of capabilities rather than a fixed trait: the capacity to anticipate threats, cope with disruption and adapt afterwards</w:t>
      </w:r>
      <w:r>
        <w:t xml:space="preserve"> </w:t>
      </w:r>
      <w:r>
        <w:rPr>
          <w:vertAlign w:val="superscript"/>
        </w:rPr>
        <w:t xml:space="preserve">10–12</w:t>
      </w:r>
      <w:r>
        <w:t xml:space="preserve">. In health care this view draws on dynamic-capabilities theory, in which organisations sense threats and reconfigure resources in response</w:t>
      </w:r>
      <w:r>
        <w:t xml:space="preserve"> </w:t>
      </w:r>
      <w:r>
        <w:rPr>
          <w:vertAlign w:val="superscript"/>
        </w:rPr>
        <w:t xml:space="preserve">13,14</w:t>
      </w:r>
      <w:r>
        <w:t xml:space="preserve">. Reviews of health-system and hospital resilience emphasise that these capabilities depend on deliberate investment in information, people, resources and coordination, and on learning from previous shocks</w:t>
      </w:r>
      <w:r>
        <w:t xml:space="preserve"> </w:t>
      </w:r>
      <w:r>
        <w:rPr>
          <w:vertAlign w:val="superscript"/>
        </w:rPr>
        <w:t xml:space="preserve">15–18</w:t>
      </w:r>
      <w:r>
        <w:t xml:space="preserve">. Strategic planning is the main managerial process through which public and private organisations set such priorities and allocate resources to them</w:t>
      </w:r>
      <w:r>
        <w:t xml:space="preserve"> </w:t>
      </w:r>
      <w:r>
        <w:rPr>
          <w:vertAlign w:val="superscript"/>
        </w:rPr>
        <w:t xml:space="preserve">19</w:t>
      </w:r>
      <w:r>
        <w:t xml:space="preserve">. When environmental threats are built into planning (assessed with structured tools, reflected in budgets and aligned with national strategies), planning should, in principle, strengthen resilience.</w:t>
      </w:r>
    </w:p>
    <w:p>
      <w:pPr>
        <w:pStyle w:val="BodyText"/>
      </w:pPr>
      <w:r>
        <w:t xml:space="preserve">Plans on their own do not withstand crises, though. A recurring lesson of the COVID-19 pandemic is that formal preparedness was a poor guide to how health systems actually performed: governance, coordination and the ability to mobilise staff and surge resources proved decisive</w:t>
      </w:r>
      <w:r>
        <w:t xml:space="preserve"> </w:t>
      </w:r>
      <w:r>
        <w:rPr>
          <w:vertAlign w:val="superscript"/>
        </w:rPr>
        <w:t xml:space="preserve">17,20</w:t>
      </w:r>
      <w:r>
        <w:t xml:space="preserve">. This points to capacity development as the mechanism linking planning to resilience. Capacity development refers to the systematic strengthening of the human, financial, infrastructural and relational resources an organisation needs to perform</w:t>
      </w:r>
      <w:r>
        <w:t xml:space="preserve"> </w:t>
      </w:r>
      <w:r>
        <w:rPr>
          <w:vertAlign w:val="superscript"/>
        </w:rPr>
        <w:t xml:space="preserve">21</w:t>
      </w:r>
      <w:r>
        <w:t xml:space="preserve">. In a capability-based view of resilience, strategic planning is expected to direct capacity-building investments, and those capacities in turn underpin the organisation’s ability to learn, exercise and adapt</w:t>
      </w:r>
      <w:r>
        <w:t xml:space="preserve"> </w:t>
      </w:r>
      <w:r>
        <w:rPr>
          <w:vertAlign w:val="superscript"/>
        </w:rPr>
        <w:t xml:space="preserve">10,22</w:t>
      </w:r>
      <w:r>
        <w:t xml:space="preserve">.</w:t>
      </w:r>
    </w:p>
    <w:p>
      <w:pPr>
        <w:pStyle w:val="BodyText"/>
      </w:pPr>
      <w:r>
        <w:t xml:space="preserve">We therefore test a mediation model (Fig. 1) with three hypotheses: strategic planning is positively associated with capacity development (H1); capacity development is positively associated with institutional resilience, holding planning constant (H2); and strategic planning is associated with resilience both directly (H3) and indirectly through capacity development (H4). We test the model with a bilingual survey of health-sector managers in Cairo. Because self-reported preparedness is prone to ceiling effects and common-method variance</w:t>
      </w:r>
      <w:r>
        <w:t xml:space="preserve"> </w:t>
      </w:r>
      <w:r>
        <w:rPr>
          <w:vertAlign w:val="superscript"/>
        </w:rPr>
        <w:t xml:space="preserve">23,24</w:t>
      </w:r>
      <w:r>
        <w:t xml:space="preserve">, we give particular attention to measurement: we use ordinal confirmatory factor analysis, assess discriminant validity with current criteria</w:t>
      </w:r>
      <w:r>
        <w:t xml:space="preserve"> </w:t>
      </w:r>
      <w:r>
        <w:rPr>
          <w:vertAlign w:val="superscript"/>
        </w:rPr>
        <w:t xml:space="preserve">25</w:t>
      </w:r>
      <w:r>
        <w:t xml:space="preserve">, and run every model again after excluding respondents with invariant answer patterns</w:t>
      </w:r>
      <w:r>
        <w:t xml:space="preserve"> </w:t>
      </w:r>
      <w:r>
        <w:rPr>
          <w:vertAlign w:val="superscript"/>
        </w:rPr>
        <w:t xml:space="preserve">26</w:t>
      </w:r>
      <w:r>
        <w:t xml:space="preserve">.</w:t>
      </w:r>
    </w:p>
    <w:bookmarkEnd w:id="21"/>
    <w:bookmarkStart w:id="26" w:name="results"/>
    <w:p>
      <w:pPr>
        <w:pStyle w:val="Heading1"/>
      </w:pPr>
      <w:r>
        <w:t xml:space="preserve">Results</w:t>
      </w:r>
    </w:p>
    <w:bookmarkStart w:id="22" w:name="sample-and-response-patterns"/>
    <w:p>
      <w:pPr>
        <w:pStyle w:val="Heading2"/>
      </w:pPr>
      <w:r>
        <w:t xml:space="preserve">Sample and response patterns</w:t>
      </w:r>
    </w:p>
    <w:p>
      <w:pPr>
        <w:pStyle w:val="FirstParagraph"/>
      </w:pPr>
      <w:r>
        <w:t xml:space="preserve">Of 439 form submissions, 23 respondents answered</w:t>
      </w:r>
      <w:r>
        <w:t xml:space="preserve"> </w:t>
      </w:r>
      <w:r>
        <w:t xml:space="preserve">“</w:t>
      </w:r>
      <w:r>
        <w:t xml:space="preserve">No</w:t>
      </w:r>
      <w:r>
        <w:t xml:space="preserve">”</w:t>
      </w:r>
      <w:r>
        <w:t xml:space="preserve"> </w:t>
      </w:r>
      <w:r>
        <w:t xml:space="preserve">to the eligibility question (current managerial or supervisory role in Cairo’s health sector) and were routed out of the questionnaire. This left 416 complete responses (Supplementary Table 1). Seventy-four of these were submitted before the eligibility question was added to the form on 20 July 2025; all results were re-estimated without them. Respondents were mostly male (63.7%), aged 40–49 (71.9%), employed in private hospitals (86.1%) and highly experienced (89.2% with more than 15 years in the health sector) (Table 1).</w:t>
      </w:r>
    </w:p>
    <w:p>
      <w:pPr>
        <w:pStyle w:val="BodyText"/>
      </w:pPr>
      <w:r>
        <w:t xml:space="preserve">Ratings were concentrated at the top of the scale (Fig. 2). Every item had a median of 7 (</w:t>
      </w:r>
      <w:r>
        <w:t xml:space="preserve">“</w:t>
      </w:r>
      <w:r>
        <w:t xml:space="preserve">strongly agree</w:t>
      </w:r>
      <w:r>
        <w:t xml:space="preserve">”</w:t>
      </w:r>
      <w:r>
        <w:t xml:space="preserve">), and the share of respondents choosing 7 ranged from 65% to 91% across items. Half of the sample (209 of 416; 50.2%) gave the same answer to all 20 items, and 207 of them answered 7 throughout. Only 17 respondents (4.1%) disagreed with any statement. Because uniform responding can reflect either genuinely high preparedness or careless, acquiescent or socially desirable answering</w:t>
      </w:r>
      <w:r>
        <w:t xml:space="preserve"> </w:t>
      </w:r>
      <w:r>
        <w:rPr>
          <w:vertAlign w:val="superscript"/>
        </w:rPr>
        <w:t xml:space="preserve">26,27</w:t>
      </w:r>
      <w:r>
        <w:t xml:space="preserve">, we report every analysis for the full sample and for the 207 respondents whose answers varied across items.</w:t>
      </w:r>
    </w:p>
    <w:bookmarkEnd w:id="22"/>
    <w:bookmarkStart w:id="23" w:name="descriptive-statistics"/>
    <w:p>
      <w:pPr>
        <w:pStyle w:val="Heading2"/>
      </w:pPr>
      <w:r>
        <w:t xml:space="preserve">Descriptive statistics</w:t>
      </w:r>
    </w:p>
    <w:p>
      <w:pPr>
        <w:pStyle w:val="FirstParagraph"/>
      </w:pPr>
      <w:r>
        <w:t xml:space="preserve">Scale means were close to the maximum for strategic planning (SP; M = 6.75, s.d. = 0.49), capacity development (CD; M = 6.70, s.d. = 0.65) and institutional resilience (IR; M = 6.66, s.d. = 0.70) (Table 2). Internal consistency was high (Cronbach’s α = 0.93–0.94). The three composites were strongly correlated (SP–CD r = 0.87, SP–IR r = 0.84, CD–IR r = 0.91; all P &lt; 0.001). Spearman correlations, which are less affected by the many tied maximum scores, were lower but still substantial (0.73, 0.71 and 0.84). Among respondents whose answers varied, means were lower (SP 6.50, CD 6.41, IR 6.32) and correlations were only modestly smaller (0.83, 0.79 and 0.89).</w:t>
      </w:r>
    </w:p>
    <w:bookmarkEnd w:id="23"/>
    <w:bookmarkStart w:id="24" w:name="measurement-model"/>
    <w:p>
      <w:pPr>
        <w:pStyle w:val="Heading2"/>
      </w:pPr>
      <w:r>
        <w:t xml:space="preserve">Measurement model</w:t>
      </w:r>
    </w:p>
    <w:p>
      <w:pPr>
        <w:pStyle w:val="FirstParagraph"/>
      </w:pPr>
      <w:r>
        <w:t xml:space="preserve">Ordinal confirmatory factor analysis with WLSMV estimation supported the hypothesised three-factor structure (Table 3). The three-factor model fitted well (χ² = 274.4, d.f. = 167; CFI = 0.996; TLI = 0.996; RMSEA = 0.039, 90% CI 0.031–0.048; SRMR = 0.029), with standardised loadings of 0.88–0.97. It fitted significantly better than a single-factor model (Δχ² = 68.7, Δd.f. = 3, P &lt; 0.001) and than a two-factor model that merged capacity development and resilience (Δχ² = 8.5, Δd.f. = 2, P = 0.015). Composite reliability (0.94–0.96) and average variance extracted (0.84–0.90) exceeded conventional thresholds. Among respondents with varied answers, fit remained acceptable (CFI = 0.988; RMSEA = 0.058; SRMR = 0.052), with loadings of 0.71–0.95.</w:t>
      </w:r>
    </w:p>
    <w:p>
      <w:pPr>
        <w:pStyle w:val="BodyText"/>
      </w:pPr>
      <w:r>
        <w:t xml:space="preserve">Discriminant validity, however, was weak. Latent correlations were 0.92 (SP–CD), 0.91 (SP–IR) and 0.97 (CD–IR; 95% CI 0.96–0.99). The corresponding HTMT ratios were 0.93, 0.91 and 0.98. The squared CD–IR correlation (0.95) exceeded the AVE of both constructs, and the squared SP–CD correlation (0.85) exceeded the AVE of strategic planning (0.84), so the Fornell–Larcker criterion was not met. Excluding uniform responders reduced the SP–CD and SP–IR correlations to 0.85 and 0.81, but CD–IR stayed at 0.94 (95% CI 0.91–0.98; HTMT 0.96). Under the guidelines of Rönkkö and Cho</w:t>
      </w:r>
      <w:r>
        <w:t xml:space="preserve"> </w:t>
      </w:r>
      <w:r>
        <w:rPr>
          <w:vertAlign w:val="superscript"/>
        </w:rPr>
        <w:t xml:space="preserve">25</w:t>
      </w:r>
      <w:r>
        <w:t xml:space="preserve">, all three pairs indicate a moderate discriminant-validity problem (upper confidence limits 0.94–0.99), and for capacity development and resilience the upper limit approaches 1, so the two constructs are not clearly separable in these data. The two-factor comparison shows that the distinction is statistically detectable but substantively small. In a Harman single-factor test, the first unrotated component accounted for 68% of item variance (62% excluding uniform responders), consistent with substantial shared method variance</w:t>
      </w:r>
      <w:r>
        <w:t xml:space="preserve"> </w:t>
      </w:r>
      <w:r>
        <w:rPr>
          <w:vertAlign w:val="superscript"/>
        </w:rPr>
        <w:t xml:space="preserve">23</w:t>
      </w:r>
      <w:r>
        <w:t xml:space="preserve">.</w:t>
      </w:r>
    </w:p>
    <w:bookmarkEnd w:id="24"/>
    <w:bookmarkStart w:id="25" w:name="mediation"/>
    <w:p>
      <w:pPr>
        <w:pStyle w:val="Heading2"/>
      </w:pPr>
      <w:r>
        <w:t xml:space="preserve">Mediation</w:t>
      </w:r>
    </w:p>
    <w:p>
      <w:pPr>
        <w:pStyle w:val="FirstParagraph"/>
      </w:pPr>
      <w:r>
        <w:t xml:space="preserve">In the latent structural model (Fig. 1 and Table 4), strategic planning was strongly associated with capacity development (a = 0.92, P &lt; 0.001; H1 supported), and capacity development was strongly associated with resilience after controlling for planning (b = 0.92, P &lt; 0.001; H2 supported). The direct path from planning to resilience was small and not significant (c′ = 0.06, P = 0.46; H3 not supported). The indirect effect was 0.84 (95% Monte Carlo CI 0.69–1.00) of a total effect of 0.91, so capacity development carried almost all of the association between planning and resilience (H4 supported; full mediation). The model explained 85% of the variance in capacity development and 95% in resilience.</w:t>
      </w:r>
    </w:p>
    <w:p>
      <w:pPr>
        <w:pStyle w:val="BodyText"/>
      </w:pPr>
      <w:r>
        <w:t xml:space="preserve">The pattern was stable across specifications (Table 4). Among screened respondents only (n = 342), the indirect effect was 0.82 (0.65–0.98) and the direct effect was 0.09 (P = 0.31). Among respondents with varied answers (n = 207), the indirect effect was 0.77 (0.61–0.92) and the direct effect was 0.05 (P = 0.61). Observed-score regression with 5,000 percentile-bootstrap resamples, on the original 1–7 metric, gave the same picture. A one-point higher planning score was associated with a 0.92-point higher resilience score via capacity development (95% CI 0.65–1.22), about three-quarters of the total association (proportion mediated 0.75, 0.54–1.01), while the direct path was not significant (0.30, −0.01 to 0.58). Adjusting for gender, age group, organisation type and experience changed none of these estimates materially (indirect 0.93, 0.65–1.28; Supplementary Table 4).</w:t>
      </w:r>
    </w:p>
    <w:bookmarkEnd w:id="25"/>
    <w:bookmarkEnd w:id="26"/>
    <w:bookmarkStart w:id="27" w:name="discussion"/>
    <w:p>
      <w:pPr>
        <w:pStyle w:val="Heading1"/>
      </w:pPr>
      <w:r>
        <w:t xml:space="preserve">Discussion</w:t>
      </w:r>
    </w:p>
    <w:p>
      <w:pPr>
        <w:pStyle w:val="FirstParagraph"/>
      </w:pPr>
      <w:r>
        <w:t xml:space="preserve">Among health-sector managers in Cairo, those who reported more systematic, environment-aware strategic planning also reported markedly stronger capacity development and institutional resilience. The planning–resilience association was transmitted almost entirely through capacity development. This held in the full sample, in the screened subsample, after excluding respondents with invariant answers and after adjusting for respondent characteristics. Substantively, the result is consistent with a capability-based view of resilience</w:t>
      </w:r>
      <w:r>
        <w:t xml:space="preserve"> </w:t>
      </w:r>
      <w:r>
        <w:rPr>
          <w:vertAlign w:val="superscript"/>
        </w:rPr>
        <w:t xml:space="preserve">10,22</w:t>
      </w:r>
      <w:r>
        <w:t xml:space="preserve">. In this view, plans contribute to resilience to the extent that they are converted into trained staff, earmarked resources, climate-relevant infrastructure and cross-departmental cooperation. It echoes lessons from Ebola and COVID-19 that preparedness on paper does not equal preparedness in practice</w:t>
      </w:r>
      <w:r>
        <w:t xml:space="preserve"> </w:t>
      </w:r>
      <w:r>
        <w:rPr>
          <w:vertAlign w:val="superscript"/>
        </w:rPr>
        <w:t xml:space="preserve">15,17</w:t>
      </w:r>
      <w:r>
        <w:t xml:space="preserve">.</w:t>
      </w:r>
    </w:p>
    <w:p>
      <w:pPr>
        <w:pStyle w:val="BodyText"/>
      </w:pPr>
      <w:r>
        <w:t xml:space="preserve">The absence of a direct planning–resilience path is informative for practice. Assessments, SWOT or PESTEL exercises and alignment with Egypt Vision 2030 seem to matter for resilience mainly when they lead to resourced capacity-building. For hospital managers and regulators, this suggests evaluating environmental preparedness by whether planning documents are followed by budget lines for preparedness, staff training on environmental health emergencies, investment in climate-relevant equipment and regular simulation drills, rather than by whether the documents exist. These are also concrete, fundable targets for climate-adaptation and health-system financing linked to SDG 3 and SDG 13.</w:t>
      </w:r>
    </w:p>
    <w:p>
      <w:pPr>
        <w:pStyle w:val="BodyText"/>
      </w:pPr>
      <w:r>
        <w:t xml:space="preserve">Three features of the data qualify these conclusions, and we consider them central rather than peripheral. First, capacity development and institutional resilience were nearly collinear (latent r = 0.97, and still 0.94 among respondents with varied answers). Statistically, the three-factor model fitted better than one merging the two constructs, but the difference was small. Several resilience items (simulation drills, monitoring preparedness performance, feedback into plans) describe activities that are themselves forms of capacity development. The large b path therefore reflects construct overlap at least as much as a separable causal step. A conservative reading is that managers perceive planning as tied to a single bundle of preparedness capabilities that covers both capacity-building and adaptive practice. Future instruments should anchor resilience in outcomes that capacity items do not describe, such as service continuity, recovery time or staff absence during actual heat or flood events.</w:t>
      </w:r>
    </w:p>
    <w:p>
      <w:pPr>
        <w:pStyle w:val="BodyText"/>
      </w:pPr>
      <w:r>
        <w:t xml:space="preserve">Second, the sample showed pronounced ceiling responding. Half of the respondents rated every statement at 7, and only 4% disagreed with anything. High ratings may partly reflect real preparedness in large private hospitals with accreditation-driven planning systems. They are also consistent with acquiescence, social desirability and the single-source design, in which the same managers rated both predictors and outcomes</w:t>
      </w:r>
      <w:r>
        <w:t xml:space="preserve"> </w:t>
      </w:r>
      <w:r>
        <w:rPr>
          <w:vertAlign w:val="superscript"/>
        </w:rPr>
        <w:t xml:space="preserve">24</w:t>
      </w:r>
      <w:r>
        <w:t xml:space="preserve">. The Harman test indicated substantial shared variance. Our results did not depend on the uniform responders, but common-method variance can inflate all structural paths, and self-reports cannot substitute for documentary or performance evidence</w:t>
      </w:r>
      <w:r>
        <w:t xml:space="preserve"> </w:t>
      </w:r>
      <w:r>
        <w:rPr>
          <w:vertAlign w:val="superscript"/>
        </w:rPr>
        <w:t xml:space="preserve">28</w:t>
      </w:r>
      <w:r>
        <w:t xml:space="preserve">.</w:t>
      </w:r>
    </w:p>
    <w:p>
      <w:pPr>
        <w:pStyle w:val="BodyText"/>
      </w:pPr>
      <w:r>
        <w:t xml:space="preserve">Third, the design limits inference. The data are cross-sectional and observational, so the mediation estimates describe a pattern of associations consistent with the hypothesised sequence; they do not identify causal effects</w:t>
      </w:r>
      <w:r>
        <w:t xml:space="preserve"> </w:t>
      </w:r>
      <w:r>
        <w:rPr>
          <w:vertAlign w:val="superscript"/>
        </w:rPr>
        <w:t xml:space="preserve">29</w:t>
      </w:r>
      <w:r>
        <w:t xml:space="preserve">. Reverse or reciprocal relations, in which resilient organisations plan better, are equally plausible. Recruitment through professional networks produced a purposive sample dominated by experienced private-hospital managers. Public hospitals, Ministry of Health directorates and NGOs together made up fewer than 4% of respondents, so the findings cannot be generalised to the public health system. Seventy-four early respondents were not formally screened, although excluding them did not change the results.</w:t>
      </w:r>
    </w:p>
    <w:p>
      <w:pPr>
        <w:pStyle w:val="BodyText"/>
      </w:pPr>
      <w:r>
        <w:t xml:space="preserve">These limitations point to a clear research agenda. Matched public–private samples and multiple respondents per institution would reduce single-source bias. Objective indicators, such as preparedness budgets, training records, drill frequency and continuity performance during recorded heatwaves, power cuts or floods, would anchor resilience in observed outcomes. Longitudinal or quasi-experimental designs would allow the planning–capacity–resilience sequence to be tested over time. Within these limits, the evidence from Cairo suggests that environmental crisis planning in health institutions pays off in resilience to the extent that it is translated into concrete capacity.</w:t>
      </w:r>
    </w:p>
    <w:bookmarkEnd w:id="27"/>
    <w:bookmarkStart w:id="34" w:name="methods"/>
    <w:p>
      <w:pPr>
        <w:pStyle w:val="Heading1"/>
      </w:pPr>
      <w:r>
        <w:t xml:space="preserve">Methods</w:t>
      </w:r>
    </w:p>
    <w:bookmarkStart w:id="28" w:name="study-design-and-setting"/>
    <w:p>
      <w:pPr>
        <w:pStyle w:val="Heading2"/>
      </w:pPr>
      <w:r>
        <w:t xml:space="preserve">Study design and setting</w:t>
      </w:r>
    </w:p>
    <w:p>
      <w:pPr>
        <w:pStyle w:val="FirstParagraph"/>
      </w:pPr>
      <w:r>
        <w:t xml:space="preserve">We conducted a cross-sectional, bilingual (Arabic–English) online survey of managers and supervisors working in the health sector of Cairo Governorate, Egypt. The conceptual model (Fig. 1) specifies strategic planning as the antecedent, capacity development as the mediator and institutional resilience as the outcome. Environmental crisis management is the substantive context of all items.</w:t>
      </w:r>
    </w:p>
    <w:bookmarkEnd w:id="28"/>
    <w:bookmarkStart w:id="29" w:name="participants-and-recruitment"/>
    <w:p>
      <w:pPr>
        <w:pStyle w:val="Heading2"/>
      </w:pPr>
      <w:r>
        <w:t xml:space="preserve">Participants and recruitment</w:t>
      </w:r>
    </w:p>
    <w:p>
      <w:pPr>
        <w:pStyle w:val="FirstParagraph"/>
      </w:pPr>
      <w:r>
        <w:t xml:space="preserve">No complete sampling frame of health-sector managers in Cairo is publicly available, so we used non-probability purposive sampling. The survey link (Google Forms) was distributed through professional networks and health-sector groups on WhatsApp, LinkedIn and Facebook between 14 June and 10 August 2025. Eligible participants were adults currently holding a managerial or supervisory role (for example team leader, department head, planner, coordinator or manager) in a health institution in Cairo. From 20 July 2025, eligibility was verified with a screening question at the start of the form; respondents who answered</w:t>
      </w:r>
      <w:r>
        <w:t xml:space="preserve"> </w:t>
      </w:r>
      <w:r>
        <w:t xml:space="preserve">“</w:t>
      </w:r>
      <w:r>
        <w:t xml:space="preserve">No</w:t>
      </w:r>
      <w:r>
        <w:t xml:space="preserve">”</w:t>
      </w:r>
      <w:r>
        <w:t xml:space="preserve"> </w:t>
      </w:r>
      <w:r>
        <w:t xml:space="preserve">(n = 23) were routed out without completing the questionnaire. The 74 responses received before that date were retained, and all analyses were repeated without them. No other responses were excluded, and there were no missing Likert responses.</w:t>
      </w:r>
    </w:p>
    <w:bookmarkEnd w:id="29"/>
    <w:bookmarkStart w:id="30" w:name="measures"/>
    <w:p>
      <w:pPr>
        <w:pStyle w:val="Heading2"/>
      </w:pPr>
      <w:r>
        <w:t xml:space="preserve">Measures</w:t>
      </w:r>
    </w:p>
    <w:p>
      <w:pPr>
        <w:pStyle w:val="FirstParagraph"/>
      </w:pPr>
      <w:r>
        <w:t xml:space="preserve">The questionnaire was developed for this study from the strategic planning, capacity development and health-system resilience literature</w:t>
      </w:r>
      <w:r>
        <w:t xml:space="preserve"> </w:t>
      </w:r>
      <w:r>
        <w:rPr>
          <w:vertAlign w:val="superscript"/>
        </w:rPr>
        <w:t xml:space="preserve">3,11,19,21</w:t>
      </w:r>
      <w:r>
        <w:t xml:space="preserve">. Subject-matter experts reviewed it and it was piloted for clarity before fielding. All items used a seven-point agreement scale (1 = strongly disagree; 7 = strongly agree). Strategic planning was measured with ten items covering environmental risk assessment, use of structured tools (e.g., SWOT, PESTEL), prioritisation, cross-departmental input, updating, integration of preparedness into strategic documents, alignment with national strategies (Egypt Vision 2030, SDGs), coordination with crisis-management teams, reflection of environmental risks in budgets, and leadership support. Capacity development was measured with five items: staff training for environmental health emergencies, financial resources for preparedness, investment in climate-related infrastructure and equipment, interdepartmental cooperation, and continuous development of planning and response capabilities. Institutional resilience was measured with five items: learning from previous crises, regular simulation drills, monitoring and evaluation of preparedness performance, using feedback to update plans, and adapting operations and structures to emerging crises. The full item wording in English and Arabic is given in Supplementary Table 2. Demographic questions recorded gender, age group, organisation type and years of health-sector experience.</w:t>
      </w:r>
    </w:p>
    <w:bookmarkEnd w:id="30"/>
    <w:bookmarkStart w:id="31" w:name="statistical-analysis"/>
    <w:p>
      <w:pPr>
        <w:pStyle w:val="Heading2"/>
      </w:pPr>
      <w:r>
        <w:t xml:space="preserve">Statistical analysis</w:t>
      </w:r>
    </w:p>
    <w:p>
      <w:pPr>
        <w:pStyle w:val="FirstParagraph"/>
      </w:pPr>
      <w:r>
        <w:t xml:space="preserve">Scale scores were computed as item means. We report means, standard deviations, the percentage of respondents at the scale maximum, Cronbach’s α and Pearson and Spearman correlations. To characterise response styles, we flagged respondents who gave the same answer to all 20 items (long-string or straight-line responding</w:t>
      </w:r>
      <w:r>
        <w:t xml:space="preserve"> </w:t>
      </w:r>
      <w:r>
        <w:rPr>
          <w:vertAlign w:val="superscript"/>
        </w:rPr>
        <w:t xml:space="preserve">26,27</w:t>
      </w:r>
      <w:r>
        <w:t xml:space="preserve">) and ran every model in three samples: all respondents (N = 416), screened respondents only (n = 342), and respondents with any within-person variation (n = 207).</w:t>
      </w:r>
    </w:p>
    <w:p>
      <w:pPr>
        <w:pStyle w:val="BodyText"/>
      </w:pPr>
      <w:r>
        <w:t xml:space="preserve">The measurement model was estimated by confirmatory factor analysis treating items as ordinal, using diagonally weighted least squares with robust standard errors and a mean- and variance-adjusted test statistic (WLSMV)</w:t>
      </w:r>
      <w:r>
        <w:t xml:space="preserve"> </w:t>
      </w:r>
      <w:r>
        <w:rPr>
          <w:vertAlign w:val="superscript"/>
        </w:rPr>
        <w:t xml:space="preserve">30</w:t>
      </w:r>
      <w:r>
        <w:t xml:space="preserve"> </w:t>
      </w:r>
      <w:r>
        <w:t xml:space="preserve">in lavaan 0.6-17</w:t>
      </w:r>
      <w:r>
        <w:t xml:space="preserve"> </w:t>
      </w:r>
      <w:r>
        <w:rPr>
          <w:vertAlign w:val="superscript"/>
        </w:rPr>
        <w:t xml:space="preserve">31</w:t>
      </w:r>
      <w:r>
        <w:t xml:space="preserve">. Because response categories 1–4 together were chosen by at most 3.6% of respondents on any item, they were collapsed into a single category so that all thresholds were estimable in every subsample. We compared one-factor, two-factor (capacity development and resilience combined) and three-factor models using scaled χ² difference tests. Fit was judged with CFI and TLI ≥ 0.95, RMSEA ≤ 0.06 and SRMR ≤ 0.08</w:t>
      </w:r>
      <w:r>
        <w:t xml:space="preserve"> </w:t>
      </w:r>
      <w:r>
        <w:rPr>
          <w:vertAlign w:val="superscript"/>
        </w:rPr>
        <w:t xml:space="preserve">32</w:t>
      </w:r>
      <w:r>
        <w:t xml:space="preserve">. Composite reliability and average variance extracted were computed with semTools 0.5-6</w:t>
      </w:r>
      <w:r>
        <w:t xml:space="preserve"> </w:t>
      </w:r>
      <w:r>
        <w:rPr>
          <w:vertAlign w:val="superscript"/>
        </w:rPr>
        <w:t xml:space="preserve">33</w:t>
      </w:r>
      <w:r>
        <w:t xml:space="preserve">. Discriminant validity was assessed with latent correlations and their confidence intervals, the heterotrait–monotrait ratio (HTMT) from polychoric correlations</w:t>
      </w:r>
      <w:r>
        <w:t xml:space="preserve"> </w:t>
      </w:r>
      <w:r>
        <w:rPr>
          <w:vertAlign w:val="superscript"/>
        </w:rPr>
        <w:t xml:space="preserve">34</w:t>
      </w:r>
      <w:r>
        <w:t xml:space="preserve">, and the Fornell–Larcker criterion</w:t>
      </w:r>
      <w:r>
        <w:t xml:space="preserve"> </w:t>
      </w:r>
      <w:r>
        <w:rPr>
          <w:vertAlign w:val="superscript"/>
        </w:rPr>
        <w:t xml:space="preserve">35</w:t>
      </w:r>
      <w:r>
        <w:t xml:space="preserve">, interpreted according to Rönkkö and Cho</w:t>
      </w:r>
      <w:r>
        <w:t xml:space="preserve"> </w:t>
      </w:r>
      <w:r>
        <w:rPr>
          <w:vertAlign w:val="superscript"/>
        </w:rPr>
        <w:t xml:space="preserve">25</w:t>
      </w:r>
      <w:r>
        <w:t xml:space="preserve">. Shared method variance was examined with Harman’s single-factor test and the comparison with the one-factor CFA</w:t>
      </w:r>
      <w:r>
        <w:t xml:space="preserve"> </w:t>
      </w:r>
      <w:r>
        <w:rPr>
          <w:vertAlign w:val="superscript"/>
        </w:rPr>
        <w:t xml:space="preserve">23</w:t>
      </w:r>
      <w:r>
        <w:t xml:space="preserve">. lavaan reported a smallest eigenvalue of the parameter covariance matrix of about −2 × 10⁻¹⁷, which is numerically zero. Estimates were unchanged under the theta parameterisation.</w:t>
      </w:r>
    </w:p>
    <w:p>
      <w:pPr>
        <w:pStyle w:val="BodyText"/>
      </w:pPr>
      <w:r>
        <w:t xml:space="preserve">Mediation was tested in a latent structural equation model (SP → CD → IR, with a direct SP → IR path) estimated with WLSMV. Indirect and total effects were defined as products and sums of standardised paths, and their 95% confidence intervals were obtained by the Monte Carlo method with 20,000 draws. As a check that does not depend on the latent model, we estimated the same model with ordinary least squares on scale scores, with 95% percentile confidence intervals from 5,000 bootstrap resamples</w:t>
      </w:r>
      <w:r>
        <w:t xml:space="preserve"> </w:t>
      </w:r>
      <w:r>
        <w:rPr>
          <w:vertAlign w:val="superscript"/>
        </w:rPr>
        <w:t xml:space="preserve">36,37</w:t>
      </w:r>
      <w:r>
        <w:t xml:space="preserve">. We estimated it with and without controls for gender, age group, organisation type (private hospital versus other) and experience (more than 15 years versus 15 or fewer). Analyses used R 4.3 with lavaan and semTools, and Python 3 with pandas, NumPy, SciPy and Matplotlib. Random seeds are fixed in the code.</w:t>
      </w:r>
    </w:p>
    <w:bookmarkEnd w:id="31"/>
    <w:bookmarkStart w:id="32" w:name="ethics"/>
    <w:p>
      <w:pPr>
        <w:pStyle w:val="Heading2"/>
      </w:pPr>
      <w:r>
        <w:t xml:space="preserve">Ethics</w:t>
      </w:r>
    </w:p>
    <w:p>
      <w:pPr>
        <w:pStyle w:val="FirstParagraph"/>
      </w:pPr>
      <w:r>
        <w:t xml:space="preserve">The study protocol was approved by the Research Ethics Committee of the Environmental Studies &amp; Research Institute (ESRI), University of Sadat City, Egypt (approval number REC/ESRI/USC/10/20-05-2025, 20 May 2025). Data collection began after approval. Participation was voluntary and anonymous, no names or contact details were collected, and informed consent was obtained from all participants before they began the questionnaire.</w:t>
      </w:r>
    </w:p>
    <w:bookmarkEnd w:id="32"/>
    <w:bookmarkStart w:id="33" w:name="use-of-ai-tools"/>
    <w:p>
      <w:pPr>
        <w:pStyle w:val="Heading2"/>
      </w:pPr>
      <w:r>
        <w:t xml:space="preserve">Use of AI tools</w:t>
      </w:r>
    </w:p>
    <w:p>
      <w:pPr>
        <w:pStyle w:val="FirstParagraph"/>
      </w:pPr>
      <w:r>
        <w:t xml:space="preserve">An AI assistant (Claude, Anthropic) was used to help audit and re-run the analysis code and to edit the manuscript text. The authors reviewed all outputs and take full responsibility for the content.</w:t>
      </w:r>
    </w:p>
    <w:bookmarkEnd w:id="33"/>
    <w:bookmarkEnd w:id="34"/>
    <w:bookmarkStart w:id="35" w:name="data-availability"/>
    <w:p>
      <w:pPr>
        <w:pStyle w:val="Heading1"/>
      </w:pPr>
      <w:r>
        <w:t xml:space="preserve">Data availability</w:t>
      </w:r>
    </w:p>
    <w:p>
      <w:pPr>
        <w:pStyle w:val="FirstParagraph"/>
      </w:pPr>
      <w:r>
        <w:t xml:space="preserve">The anonymised analytic dataset (item responses and coarsened demographics, with timestamps, job titles and free-text fields removed) and aggregated sample descriptives are available at https://github.com/A2022KR/strategic-planning-resilience-egypt. The raw survey export is not shared because it contains potentially identifying information.</w:t>
      </w:r>
    </w:p>
    <w:bookmarkEnd w:id="35"/>
    <w:bookmarkStart w:id="36" w:name="code-availability"/>
    <w:p>
      <w:pPr>
        <w:pStyle w:val="Heading1"/>
      </w:pPr>
      <w:r>
        <w:t xml:space="preserve">Code availability</w:t>
      </w:r>
    </w:p>
    <w:p>
      <w:pPr>
        <w:pStyle w:val="FirstParagraph"/>
      </w:pPr>
      <w:r>
        <w:t xml:space="preserve">All code needed to reproduce the tables and figures, from the raw export to the final outputs, is available at https://github.com/A2022KR/strategic-planning-resilience-egypt.</w:t>
      </w:r>
    </w:p>
    <w:bookmarkEnd w:id="36"/>
    <w:bookmarkStart w:id="37" w:name="acknowledgements"/>
    <w:p>
      <w:pPr>
        <w:pStyle w:val="Heading1"/>
      </w:pPr>
      <w:r>
        <w:t xml:space="preserve">Acknowledgements</w:t>
      </w:r>
    </w:p>
    <w:p>
      <w:pPr>
        <w:pStyle w:val="FirstParagraph"/>
      </w:pPr>
      <w:r>
        <w:t xml:space="preserve">We thank the health-sector professionals who took part in the survey and the subject-matter experts who reviewed the questionnaire.</w:t>
      </w:r>
    </w:p>
    <w:bookmarkEnd w:id="37"/>
    <w:bookmarkStart w:id="38" w:name="author-contributions"/>
    <w:p>
      <w:pPr>
        <w:pStyle w:val="Heading1"/>
      </w:pPr>
      <w:r>
        <w:t xml:space="preserve">Author contributions</w:t>
      </w:r>
    </w:p>
    <w:p>
      <w:pPr>
        <w:pStyle w:val="FirstParagraph"/>
      </w:pPr>
      <w:r>
        <w:t xml:space="preserve">A.H. conceived the study, developed the conceptual framework and questionnaire, collected and curated the data, performed the formal analysis and wrote the original draft. M.S.A. supervised the research, contributed to the study design and the interpretation of the findings, and reviewed and edited the manuscript. Both authors approved the final version.</w:t>
      </w:r>
    </w:p>
    <w:bookmarkEnd w:id="38"/>
    <w:bookmarkStart w:id="39" w:name="competing-interests"/>
    <w:p>
      <w:pPr>
        <w:pStyle w:val="Heading1"/>
      </w:pPr>
      <w:r>
        <w:t xml:space="preserve">Competing interests</w:t>
      </w:r>
    </w:p>
    <w:p>
      <w:pPr>
        <w:pStyle w:val="FirstParagraph"/>
      </w:pPr>
      <w:r>
        <w:t xml:space="preserve">The authors declare no competing interests.</w:t>
      </w:r>
    </w:p>
    <w:bookmarkEnd w:id="39"/>
    <w:bookmarkStart w:id="40" w:name="references"/>
    <w:p>
      <w:pPr>
        <w:pStyle w:val="Heading1"/>
      </w:pPr>
      <w:r>
        <w:t xml:space="preserve">References</w:t>
      </w:r>
    </w:p>
    <w:p>
      <w:pPr>
        <w:numPr>
          <w:ilvl w:val="0"/>
          <w:numId w:val="1001"/>
        </w:numPr>
        <w:pStyle w:val="Compact"/>
      </w:pPr>
      <w:r>
        <w:t xml:space="preserve">Romanello M, Di Napoli C, Green C, Kennard H, Lampard P, Scamman D, et al. The 2023 report of the Lancet Countdown on health and climate change: the imperative for a health-centred response in a world facing irreversible harms.</w:t>
      </w:r>
      <w:r>
        <w:t xml:space="preserve"> </w:t>
      </w:r>
      <w:r>
        <w:rPr>
          <w:iCs/>
          <w:i/>
        </w:rPr>
        <w:t xml:space="preserve">Lancet</w:t>
      </w:r>
      <w:r>
        <w:t xml:space="preserve"> </w:t>
      </w:r>
      <w:r>
        <w:rPr>
          <w:bCs/>
          <w:b/>
        </w:rPr>
        <w:t xml:space="preserve">402</w:t>
      </w:r>
      <w:r>
        <w:t xml:space="preserve">, 2346–2394 (2023). https://doi.org/10.1016/S0140-6736(23)01859-7</w:t>
      </w:r>
    </w:p>
    <w:p>
      <w:pPr>
        <w:numPr>
          <w:ilvl w:val="0"/>
          <w:numId w:val="1001"/>
        </w:numPr>
        <w:pStyle w:val="Compact"/>
      </w:pPr>
      <w:r>
        <w:t xml:space="preserve">World Health Organization.</w:t>
      </w:r>
      <w:r>
        <w:t xml:space="preserve"> </w:t>
      </w:r>
      <w:r>
        <w:rPr>
          <w:iCs/>
          <w:i/>
        </w:rPr>
        <w:t xml:space="preserve">Operational Framework for Building Climate Resilient Health Systems</w:t>
      </w:r>
      <w:r>
        <w:t xml:space="preserve"> </w:t>
      </w:r>
      <w:r>
        <w:t xml:space="preserve">(WHO, 2015).</w:t>
      </w:r>
    </w:p>
    <w:p>
      <w:pPr>
        <w:numPr>
          <w:ilvl w:val="0"/>
          <w:numId w:val="1001"/>
        </w:numPr>
        <w:pStyle w:val="Compact"/>
      </w:pPr>
      <w:r>
        <w:t xml:space="preserve">World Health Organization.</w:t>
      </w:r>
      <w:r>
        <w:t xml:space="preserve"> </w:t>
      </w:r>
      <w:r>
        <w:rPr>
          <w:iCs/>
          <w:i/>
        </w:rPr>
        <w:t xml:space="preserve">Operational Framework for Building Climate Resilient and Low Carbon Health Systems</w:t>
      </w:r>
      <w:r>
        <w:t xml:space="preserve"> </w:t>
      </w:r>
      <w:r>
        <w:t xml:space="preserve">(WHO, 2023). https://www.who.int/publications/i/item/9789240081888</w:t>
      </w:r>
    </w:p>
    <w:p>
      <w:pPr>
        <w:numPr>
          <w:ilvl w:val="0"/>
          <w:numId w:val="1001"/>
        </w:numPr>
        <w:pStyle w:val="Compact"/>
      </w:pPr>
      <w:r>
        <w:t xml:space="preserve">Corvalan C, Villalobos Prats E, Sena A, Campbell-Lendrum D, Karliner J, Risso A, et al. Towards climate resilient and environmentally sustainable health care facilities.</w:t>
      </w:r>
      <w:r>
        <w:t xml:space="preserve"> </w:t>
      </w:r>
      <w:r>
        <w:rPr>
          <w:iCs/>
          <w:i/>
        </w:rPr>
        <w:t xml:space="preserve">Int. J. Environ. Res. Public Health</w:t>
      </w:r>
      <w:r>
        <w:t xml:space="preserve"> </w:t>
      </w:r>
      <w:r>
        <w:rPr>
          <w:bCs/>
          <w:b/>
        </w:rPr>
        <w:t xml:space="preserve">17</w:t>
      </w:r>
      <w:r>
        <w:t xml:space="preserve">, 8849 (2020). https://doi.org/10.3390/ijerph17238849</w:t>
      </w:r>
    </w:p>
    <w:p>
      <w:pPr>
        <w:numPr>
          <w:ilvl w:val="0"/>
          <w:numId w:val="1001"/>
        </w:numPr>
        <w:pStyle w:val="Compact"/>
      </w:pPr>
      <w:r>
        <w:t xml:space="preserve">United Nations Office for Disaster Risk Reduction.</w:t>
      </w:r>
      <w:r>
        <w:t xml:space="preserve"> </w:t>
      </w:r>
      <w:r>
        <w:rPr>
          <w:iCs/>
          <w:i/>
        </w:rPr>
        <w:t xml:space="preserve">Sendai Framework for Disaster Risk Reduction 2015–2030</w:t>
      </w:r>
      <w:r>
        <w:t xml:space="preserve"> </w:t>
      </w:r>
      <w:r>
        <w:t xml:space="preserve">(UNISDR, 2015). https://www.undrr.org/publication/sendai-framework-disaster-risk-reduction-2015-2030</w:t>
      </w:r>
    </w:p>
    <w:p>
      <w:pPr>
        <w:numPr>
          <w:ilvl w:val="0"/>
          <w:numId w:val="1001"/>
        </w:numPr>
        <w:pStyle w:val="Compact"/>
      </w:pPr>
      <w:r>
        <w:t xml:space="preserve">Ministry of Environment, Arab Republic of Egypt.</w:t>
      </w:r>
      <w:r>
        <w:t xml:space="preserve"> </w:t>
      </w:r>
      <w:r>
        <w:rPr>
          <w:iCs/>
          <w:i/>
        </w:rPr>
        <w:t xml:space="preserve">Egypt National Climate Change Strategy (NCCS) 2050</w:t>
      </w:r>
      <w:r>
        <w:t xml:space="preserve"> </w:t>
      </w:r>
      <w:r>
        <w:t xml:space="preserve">(Ministry of Environment, 2022). https://faolex.fao.org/docs/pdf/egy213202E.pdf</w:t>
      </w:r>
    </w:p>
    <w:p>
      <w:pPr>
        <w:numPr>
          <w:ilvl w:val="0"/>
          <w:numId w:val="1001"/>
        </w:numPr>
        <w:pStyle w:val="Compact"/>
      </w:pPr>
      <w:r>
        <w:t xml:space="preserve">Mostafa AN, Alfaro SC, Robaa SM, Zakey AS, Abdel Wahab MM. Heatwaves and their impact on air quality in Greater Cairo, Egypt.</w:t>
      </w:r>
      <w:r>
        <w:t xml:space="preserve"> </w:t>
      </w:r>
      <w:r>
        <w:rPr>
          <w:iCs/>
          <w:i/>
        </w:rPr>
        <w:t xml:space="preserve">Atmosphere</w:t>
      </w:r>
      <w:r>
        <w:t xml:space="preserve"> </w:t>
      </w:r>
      <w:r>
        <w:rPr>
          <w:bCs/>
          <w:b/>
        </w:rPr>
        <w:t xml:space="preserve">15</w:t>
      </w:r>
      <w:r>
        <w:t xml:space="preserve">, 637 (2024). https://doi.org/10.3390/atmos15060637</w:t>
      </w:r>
    </w:p>
    <w:p>
      <w:pPr>
        <w:numPr>
          <w:ilvl w:val="0"/>
          <w:numId w:val="1001"/>
        </w:numPr>
        <w:pStyle w:val="Compact"/>
      </w:pPr>
      <w:r>
        <w:t xml:space="preserve">Abd El Ghaffar MM, Salem MR, Al Soda MF, Abd El Razik MS, et al. COVID-19 pandemic preparedness in Egypt’s teaching hospitals: a needs assessment study.</w:t>
      </w:r>
      <w:r>
        <w:t xml:space="preserve"> </w:t>
      </w:r>
      <w:r>
        <w:rPr>
          <w:iCs/>
          <w:i/>
        </w:rPr>
        <w:t xml:space="preserve">Front. Public Health</w:t>
      </w:r>
      <w:r>
        <w:t xml:space="preserve"> </w:t>
      </w:r>
      <w:r>
        <w:rPr>
          <w:bCs/>
          <w:b/>
        </w:rPr>
        <w:t xml:space="preserve">9</w:t>
      </w:r>
      <w:r>
        <w:t xml:space="preserve">, 748666 (2022). https://doi.org/10.3389/fpubh.2021.748666</w:t>
      </w:r>
    </w:p>
    <w:p>
      <w:pPr>
        <w:numPr>
          <w:ilvl w:val="0"/>
          <w:numId w:val="1001"/>
        </w:numPr>
        <w:pStyle w:val="Compact"/>
      </w:pPr>
      <w:r>
        <w:t xml:space="preserve">Ahmed AMHA, Elemam WE, Abuosekken MS. The role of strategic planning in environmental crisis management: article review and case study.</w:t>
      </w:r>
      <w:r>
        <w:t xml:space="preserve"> </w:t>
      </w:r>
      <w:r>
        <w:rPr>
          <w:iCs/>
          <w:i/>
        </w:rPr>
        <w:t xml:space="preserve">Int. J. Environ. Stud. Res.</w:t>
      </w:r>
      <w:r>
        <w:t xml:space="preserve"> </w:t>
      </w:r>
      <w:r>
        <w:rPr>
          <w:bCs/>
          <w:b/>
        </w:rPr>
        <w:t xml:space="preserve">2</w:t>
      </w:r>
      <w:r>
        <w:t xml:space="preserve">, 85–104 (2023). https://doi.org/10.21608/ijesr.2023.346718</w:t>
      </w:r>
    </w:p>
    <w:p>
      <w:pPr>
        <w:numPr>
          <w:ilvl w:val="0"/>
          <w:numId w:val="1001"/>
        </w:numPr>
        <w:pStyle w:val="Compact"/>
      </w:pPr>
      <w:r>
        <w:t xml:space="preserve">Duchek S. Organizational resilience: a capability-based conceptualization.</w:t>
      </w:r>
      <w:r>
        <w:t xml:space="preserve"> </w:t>
      </w:r>
      <w:r>
        <w:rPr>
          <w:iCs/>
          <w:i/>
        </w:rPr>
        <w:t xml:space="preserve">Bus. Res.</w:t>
      </w:r>
      <w:r>
        <w:t xml:space="preserve"> </w:t>
      </w:r>
      <w:r>
        <w:rPr>
          <w:bCs/>
          <w:b/>
        </w:rPr>
        <w:t xml:space="preserve">13</w:t>
      </w:r>
      <w:r>
        <w:t xml:space="preserve">, 215–246 (2020). https://doi.org/10.1007/s40685-019-0085-7</w:t>
      </w:r>
    </w:p>
    <w:p>
      <w:pPr>
        <w:numPr>
          <w:ilvl w:val="0"/>
          <w:numId w:val="1001"/>
        </w:numPr>
        <w:pStyle w:val="Compact"/>
      </w:pPr>
      <w:r>
        <w:t xml:space="preserve">Barasa E, Mbau R, Gilson L. What is resilience and how can it be nurtured? A systematic review of empirical literature on organizational resilience.</w:t>
      </w:r>
      <w:r>
        <w:t xml:space="preserve"> </w:t>
      </w:r>
      <w:r>
        <w:rPr>
          <w:iCs/>
          <w:i/>
        </w:rPr>
        <w:t xml:space="preserve">Int. J. Health Policy Manag.</w:t>
      </w:r>
      <w:r>
        <w:t xml:space="preserve"> </w:t>
      </w:r>
      <w:r>
        <w:rPr>
          <w:bCs/>
          <w:b/>
        </w:rPr>
        <w:t xml:space="preserve">7</w:t>
      </w:r>
      <w:r>
        <w:t xml:space="preserve">, 491–503 (2018). https://doi.org/10.15171/ijhpm.2018.06</w:t>
      </w:r>
    </w:p>
    <w:p>
      <w:pPr>
        <w:numPr>
          <w:ilvl w:val="0"/>
          <w:numId w:val="1001"/>
        </w:numPr>
        <w:pStyle w:val="Compact"/>
      </w:pPr>
      <w:r>
        <w:t xml:space="preserve">Wiig S, Aase K, Billett S, Canfield C, Røise O, Njå O, et al. Defining the boundaries and operational concepts of resilience in the resilience in healthcare research program.</w:t>
      </w:r>
      <w:r>
        <w:t xml:space="preserve"> </w:t>
      </w:r>
      <w:r>
        <w:rPr>
          <w:iCs/>
          <w:i/>
        </w:rPr>
        <w:t xml:space="preserve">BMC Health Serv. Res.</w:t>
      </w:r>
      <w:r>
        <w:t xml:space="preserve"> </w:t>
      </w:r>
      <w:r>
        <w:rPr>
          <w:bCs/>
          <w:b/>
        </w:rPr>
        <w:t xml:space="preserve">20</w:t>
      </w:r>
      <w:r>
        <w:t xml:space="preserve">, 330 (2020). https://doi.org/10.1186/s12913-020-05224-3</w:t>
      </w:r>
    </w:p>
    <w:p>
      <w:pPr>
        <w:numPr>
          <w:ilvl w:val="0"/>
          <w:numId w:val="1001"/>
        </w:numPr>
        <w:pStyle w:val="Compact"/>
      </w:pPr>
      <w:r>
        <w:t xml:space="preserve">Teece DJ, Pisano G, Shuen A. Dynamic capabilities and strategic management.</w:t>
      </w:r>
      <w:r>
        <w:t xml:space="preserve"> </w:t>
      </w:r>
      <w:r>
        <w:rPr>
          <w:iCs/>
          <w:i/>
        </w:rPr>
        <w:t xml:space="preserve">Strateg. Manag. J.</w:t>
      </w:r>
      <w:r>
        <w:t xml:space="preserve"> </w:t>
      </w:r>
      <w:r>
        <w:rPr>
          <w:bCs/>
          <w:b/>
        </w:rPr>
        <w:t xml:space="preserve">18</w:t>
      </w:r>
      <w:r>
        <w:t xml:space="preserve">, 509–533 (1997). https://doi.org/10.1002/(SICI)1097-0266(199708)18:7&lt;509::AID-SMJ882&gt;3.0.CO;2-Z</w:t>
      </w:r>
    </w:p>
    <w:p>
      <w:pPr>
        <w:numPr>
          <w:ilvl w:val="0"/>
          <w:numId w:val="1001"/>
        </w:numPr>
        <w:pStyle w:val="Compact"/>
      </w:pPr>
      <w:r>
        <w:t xml:space="preserve">Mishra S, Sharma A, Shivhare A, Srivastava M. Key drivers of organizational resilience in healthcare: a dynamic capabilities perspective.</w:t>
      </w:r>
      <w:r>
        <w:t xml:space="preserve"> </w:t>
      </w:r>
      <w:r>
        <w:rPr>
          <w:iCs/>
          <w:i/>
        </w:rPr>
        <w:t xml:space="preserve">J. Health Organ. Manag.</w:t>
      </w:r>
      <w:r>
        <w:t xml:space="preserve"> </w:t>
      </w:r>
      <w:r>
        <w:rPr>
          <w:bCs/>
          <w:b/>
        </w:rPr>
        <w:t xml:space="preserve">40</w:t>
      </w:r>
      <w:r>
        <w:t xml:space="preserve">, 1462–1475 (2026). https://doi.org/10.1108/JHOM-06-2025-0354</w:t>
      </w:r>
    </w:p>
    <w:p>
      <w:pPr>
        <w:numPr>
          <w:ilvl w:val="0"/>
          <w:numId w:val="1001"/>
        </w:numPr>
        <w:pStyle w:val="Compact"/>
      </w:pPr>
      <w:r>
        <w:t xml:space="preserve">Kruk ME, Myers M, Varpilah ST, Dahn BT. What is a resilient health system? Lessons from Ebola.</w:t>
      </w:r>
      <w:r>
        <w:t xml:space="preserve"> </w:t>
      </w:r>
      <w:r>
        <w:rPr>
          <w:iCs/>
          <w:i/>
        </w:rPr>
        <w:t xml:space="preserve">Lancet</w:t>
      </w:r>
      <w:r>
        <w:t xml:space="preserve"> </w:t>
      </w:r>
      <w:r>
        <w:rPr>
          <w:bCs/>
          <w:b/>
        </w:rPr>
        <w:t xml:space="preserve">385</w:t>
      </w:r>
      <w:r>
        <w:t xml:space="preserve">, 1910–1912 (2015). https://doi.org/10.1016/S0140-6736(15)60755-3</w:t>
      </w:r>
    </w:p>
    <w:p>
      <w:pPr>
        <w:numPr>
          <w:ilvl w:val="0"/>
          <w:numId w:val="1001"/>
        </w:numPr>
        <w:pStyle w:val="Compact"/>
      </w:pPr>
      <w:r>
        <w:t xml:space="preserve">Hanefeld J, Mayhew S, Legido-Quigley H, Martineau F, Karanikolos M, Blanchet K, et al. Towards an understanding of resilience: responding to health systems shocks.</w:t>
      </w:r>
      <w:r>
        <w:t xml:space="preserve"> </w:t>
      </w:r>
      <w:r>
        <w:rPr>
          <w:iCs/>
          <w:i/>
        </w:rPr>
        <w:t xml:space="preserve">Health Policy Plan.</w:t>
      </w:r>
      <w:r>
        <w:t xml:space="preserve"> </w:t>
      </w:r>
      <w:r>
        <w:rPr>
          <w:bCs/>
          <w:b/>
        </w:rPr>
        <w:t xml:space="preserve">33</w:t>
      </w:r>
      <w:r>
        <w:t xml:space="preserve">, 355–367 (2018). https://doi.org/10.1093/heapol/czx183</w:t>
      </w:r>
    </w:p>
    <w:p>
      <w:pPr>
        <w:numPr>
          <w:ilvl w:val="0"/>
          <w:numId w:val="1001"/>
        </w:numPr>
        <w:pStyle w:val="Compact"/>
      </w:pPr>
      <w:r>
        <w:t xml:space="preserve">Haldane V, De Foo C, Abdalla SM, et al. Health systems resilience in managing the COVID-19 pandemic: lessons from 28 countries.</w:t>
      </w:r>
      <w:r>
        <w:t xml:space="preserve"> </w:t>
      </w:r>
      <w:r>
        <w:rPr>
          <w:iCs/>
          <w:i/>
        </w:rPr>
        <w:t xml:space="preserve">Nat. Med.</w:t>
      </w:r>
      <w:r>
        <w:t xml:space="preserve"> </w:t>
      </w:r>
      <w:r>
        <w:rPr>
          <w:bCs/>
          <w:b/>
        </w:rPr>
        <w:t xml:space="preserve">27</w:t>
      </w:r>
      <w:r>
        <w:t xml:space="preserve">, 964–980 (2021). https://doi.org/10.1038/s41591-021-01381-y</w:t>
      </w:r>
    </w:p>
    <w:p>
      <w:pPr>
        <w:numPr>
          <w:ilvl w:val="0"/>
          <w:numId w:val="1001"/>
        </w:numPr>
        <w:pStyle w:val="Compact"/>
      </w:pPr>
      <w:r>
        <w:t xml:space="preserve">Fallah-Aliabadi S, Ostadtaghizadeh A, Ardalan A, Fatemi F, Khazai B, Mirjalili MR. Towards developing a model for the evaluation of hospital disaster resilience: a systematic review.</w:t>
      </w:r>
      <w:r>
        <w:t xml:space="preserve"> </w:t>
      </w:r>
      <w:r>
        <w:rPr>
          <w:iCs/>
          <w:i/>
        </w:rPr>
        <w:t xml:space="preserve">BMC Health Serv. Res.</w:t>
      </w:r>
      <w:r>
        <w:t xml:space="preserve"> </w:t>
      </w:r>
      <w:r>
        <w:rPr>
          <w:bCs/>
          <w:b/>
        </w:rPr>
        <w:t xml:space="preserve">20</w:t>
      </w:r>
      <w:r>
        <w:t xml:space="preserve">, 64 (2020). https://doi.org/10.1186/s12913-020-4915-2</w:t>
      </w:r>
    </w:p>
    <w:p>
      <w:pPr>
        <w:numPr>
          <w:ilvl w:val="0"/>
          <w:numId w:val="1001"/>
        </w:numPr>
        <w:pStyle w:val="Compact"/>
      </w:pPr>
      <w:r>
        <w:t xml:space="preserve">Bryson JM.</w:t>
      </w:r>
      <w:r>
        <w:t xml:space="preserve"> </w:t>
      </w:r>
      <w:r>
        <w:rPr>
          <w:iCs/>
          <w:i/>
        </w:rPr>
        <w:t xml:space="preserve">Strategic Planning for Public and Nonprofit Organizations</w:t>
      </w:r>
      <w:r>
        <w:t xml:space="preserve"> </w:t>
      </w:r>
      <w:r>
        <w:t xml:space="preserve">5th edn (Wiley, 2018).</w:t>
      </w:r>
    </w:p>
    <w:p>
      <w:pPr>
        <w:numPr>
          <w:ilvl w:val="0"/>
          <w:numId w:val="1001"/>
        </w:numPr>
        <w:pStyle w:val="Compact"/>
      </w:pPr>
      <w:r>
        <w:t xml:space="preserve">Salvador M, Sancho D. Institutional capacities and urban management: Barcelona and the COVID-19 crisis.</w:t>
      </w:r>
      <w:r>
        <w:t xml:space="preserve"> </w:t>
      </w:r>
      <w:r>
        <w:rPr>
          <w:iCs/>
          <w:i/>
        </w:rPr>
        <w:t xml:space="preserve">Urban Gov.</w:t>
      </w:r>
      <w:r>
        <w:t xml:space="preserve"> </w:t>
      </w:r>
      <w:r>
        <w:rPr>
          <w:bCs/>
          <w:b/>
        </w:rPr>
        <w:t xml:space="preserve">5</w:t>
      </w:r>
      <w:r>
        <w:t xml:space="preserve">, 256–265 (2025). https://doi.org/10.1016/j.ugj.2025.05.001</w:t>
      </w:r>
    </w:p>
    <w:p>
      <w:pPr>
        <w:numPr>
          <w:ilvl w:val="0"/>
          <w:numId w:val="1001"/>
        </w:numPr>
        <w:pStyle w:val="Compact"/>
      </w:pPr>
      <w:r>
        <w:t xml:space="preserve">Potter C, Brough R. Systemic capacity building: a hierarchy of needs.</w:t>
      </w:r>
      <w:r>
        <w:t xml:space="preserve"> </w:t>
      </w:r>
      <w:r>
        <w:rPr>
          <w:iCs/>
          <w:i/>
        </w:rPr>
        <w:t xml:space="preserve">Health Policy Plan.</w:t>
      </w:r>
      <w:r>
        <w:t xml:space="preserve"> </w:t>
      </w:r>
      <w:r>
        <w:rPr>
          <w:bCs/>
          <w:b/>
        </w:rPr>
        <w:t xml:space="preserve">19</w:t>
      </w:r>
      <w:r>
        <w:t xml:space="preserve">, 336–345 (2004). https://doi.org/10.1093/heapol/czh038</w:t>
      </w:r>
    </w:p>
    <w:p>
      <w:pPr>
        <w:numPr>
          <w:ilvl w:val="0"/>
          <w:numId w:val="1001"/>
        </w:numPr>
        <w:pStyle w:val="Compact"/>
      </w:pPr>
      <w:r>
        <w:t xml:space="preserve">Lengnick-Hall CA, Beck TE, Lengnick-Hall ML. Developing a capacity for organizational resilience through strategic human resource management.</w:t>
      </w:r>
      <w:r>
        <w:t xml:space="preserve"> </w:t>
      </w:r>
      <w:r>
        <w:rPr>
          <w:iCs/>
          <w:i/>
        </w:rPr>
        <w:t xml:space="preserve">Hum. Resour. Manag. Rev.</w:t>
      </w:r>
      <w:r>
        <w:t xml:space="preserve"> </w:t>
      </w:r>
      <w:r>
        <w:rPr>
          <w:bCs/>
          <w:b/>
        </w:rPr>
        <w:t xml:space="preserve">21</w:t>
      </w:r>
      <w:r>
        <w:t xml:space="preserve">, 243–255 (2011). https://doi.org/10.1016/j.hrmr.2010.07.001</w:t>
      </w:r>
    </w:p>
    <w:p>
      <w:pPr>
        <w:numPr>
          <w:ilvl w:val="0"/>
          <w:numId w:val="1001"/>
        </w:numPr>
        <w:pStyle w:val="Compact"/>
      </w:pPr>
      <w:r>
        <w:t xml:space="preserve">Podsakoff PM, MacKenzie SB, Lee JY, Podsakoff NP. Common method biases in behavioral research: a critical review of the literature and recommended remedies.</w:t>
      </w:r>
      <w:r>
        <w:t xml:space="preserve"> </w:t>
      </w:r>
      <w:r>
        <w:rPr>
          <w:iCs/>
          <w:i/>
        </w:rPr>
        <w:t xml:space="preserve">J. Appl. Psychol.</w:t>
      </w:r>
      <w:r>
        <w:t xml:space="preserve"> </w:t>
      </w:r>
      <w:r>
        <w:rPr>
          <w:bCs/>
          <w:b/>
        </w:rPr>
        <w:t xml:space="preserve">88</w:t>
      </w:r>
      <w:r>
        <w:t xml:space="preserve">, 879–903 (2003). https://doi.org/10.1037/0021-9010.88.5.879</w:t>
      </w:r>
    </w:p>
    <w:p>
      <w:pPr>
        <w:numPr>
          <w:ilvl w:val="0"/>
          <w:numId w:val="1001"/>
        </w:numPr>
        <w:pStyle w:val="Compact"/>
      </w:pPr>
      <w:r>
        <w:t xml:space="preserve">Podsakoff PM, MacKenzie SB, Podsakoff NP. Sources of method bias in social science research and recommendations on how to control it.</w:t>
      </w:r>
      <w:r>
        <w:t xml:space="preserve"> </w:t>
      </w:r>
      <w:r>
        <w:rPr>
          <w:iCs/>
          <w:i/>
        </w:rPr>
        <w:t xml:space="preserve">Annu. Rev. Psychol.</w:t>
      </w:r>
      <w:r>
        <w:t xml:space="preserve"> </w:t>
      </w:r>
      <w:r>
        <w:rPr>
          <w:bCs/>
          <w:b/>
        </w:rPr>
        <w:t xml:space="preserve">63</w:t>
      </w:r>
      <w:r>
        <w:t xml:space="preserve">, 539–569 (2012). https://doi.org/10.1146/annurev-psych-120710-100452</w:t>
      </w:r>
    </w:p>
    <w:p>
      <w:pPr>
        <w:numPr>
          <w:ilvl w:val="0"/>
          <w:numId w:val="1001"/>
        </w:numPr>
        <w:pStyle w:val="Compact"/>
      </w:pPr>
      <w:r>
        <w:t xml:space="preserve">Rönkkö M, Cho E. An updated guideline for assessing discriminant validity.</w:t>
      </w:r>
      <w:r>
        <w:t xml:space="preserve"> </w:t>
      </w:r>
      <w:r>
        <w:rPr>
          <w:iCs/>
          <w:i/>
        </w:rPr>
        <w:t xml:space="preserve">Organ. Res. Methods</w:t>
      </w:r>
      <w:r>
        <w:t xml:space="preserve"> </w:t>
      </w:r>
      <w:r>
        <w:rPr>
          <w:bCs/>
          <w:b/>
        </w:rPr>
        <w:t xml:space="preserve">25</w:t>
      </w:r>
      <w:r>
        <w:t xml:space="preserve">, 6–14 (2022). https://doi.org/10.1177/1094428120968614</w:t>
      </w:r>
    </w:p>
    <w:p>
      <w:pPr>
        <w:numPr>
          <w:ilvl w:val="0"/>
          <w:numId w:val="1001"/>
        </w:numPr>
        <w:pStyle w:val="Compact"/>
      </w:pPr>
      <w:r>
        <w:t xml:space="preserve">Curran PG. Methods for the detection of carelessly invalid responses in survey data.</w:t>
      </w:r>
      <w:r>
        <w:t xml:space="preserve"> </w:t>
      </w:r>
      <w:r>
        <w:rPr>
          <w:iCs/>
          <w:i/>
        </w:rPr>
        <w:t xml:space="preserve">J. Exp. Soc. Psychol.</w:t>
      </w:r>
      <w:r>
        <w:t xml:space="preserve"> </w:t>
      </w:r>
      <w:r>
        <w:rPr>
          <w:bCs/>
          <w:b/>
        </w:rPr>
        <w:t xml:space="preserve">66</w:t>
      </w:r>
      <w:r>
        <w:t xml:space="preserve">, 4–19 (2016). https://doi.org/10.1016/j.jesp.2015.07.006</w:t>
      </w:r>
    </w:p>
    <w:p>
      <w:pPr>
        <w:numPr>
          <w:ilvl w:val="0"/>
          <w:numId w:val="1001"/>
        </w:numPr>
        <w:pStyle w:val="Compact"/>
      </w:pPr>
      <w:r>
        <w:t xml:space="preserve">Meade AW, Craig SB. Identifying careless responses in survey data.</w:t>
      </w:r>
      <w:r>
        <w:t xml:space="preserve"> </w:t>
      </w:r>
      <w:r>
        <w:rPr>
          <w:iCs/>
          <w:i/>
        </w:rPr>
        <w:t xml:space="preserve">Psychol. Methods</w:t>
      </w:r>
      <w:r>
        <w:t xml:space="preserve"> </w:t>
      </w:r>
      <w:r>
        <w:rPr>
          <w:bCs/>
          <w:b/>
        </w:rPr>
        <w:t xml:space="preserve">17</w:t>
      </w:r>
      <w:r>
        <w:t xml:space="preserve">, 437–455 (2012). https://doi.org/10.1037/a0028085</w:t>
      </w:r>
    </w:p>
    <w:p>
      <w:pPr>
        <w:numPr>
          <w:ilvl w:val="0"/>
          <w:numId w:val="1001"/>
        </w:numPr>
        <w:pStyle w:val="Compact"/>
      </w:pPr>
      <w:r>
        <w:t xml:space="preserve">Spector PE. Method variance in organizational research: truth or urban legend?</w:t>
      </w:r>
      <w:r>
        <w:t xml:space="preserve"> </w:t>
      </w:r>
      <w:r>
        <w:rPr>
          <w:iCs/>
          <w:i/>
        </w:rPr>
        <w:t xml:space="preserve">Organ. Res. Methods</w:t>
      </w:r>
      <w:r>
        <w:t xml:space="preserve"> </w:t>
      </w:r>
      <w:r>
        <w:rPr>
          <w:bCs/>
          <w:b/>
        </w:rPr>
        <w:t xml:space="preserve">9</w:t>
      </w:r>
      <w:r>
        <w:t xml:space="preserve">, 221–232 (2006). https://doi.org/10.1177/1094428105284955</w:t>
      </w:r>
    </w:p>
    <w:p>
      <w:pPr>
        <w:numPr>
          <w:ilvl w:val="0"/>
          <w:numId w:val="1001"/>
        </w:numPr>
        <w:pStyle w:val="Compact"/>
      </w:pPr>
      <w:r>
        <w:t xml:space="preserve">Maxwell SE, Cole DA. Bias in cross-sectional analyses of longitudinal mediation.</w:t>
      </w:r>
      <w:r>
        <w:t xml:space="preserve"> </w:t>
      </w:r>
      <w:r>
        <w:rPr>
          <w:iCs/>
          <w:i/>
        </w:rPr>
        <w:t xml:space="preserve">Psychol. Methods</w:t>
      </w:r>
      <w:r>
        <w:t xml:space="preserve"> </w:t>
      </w:r>
      <w:r>
        <w:rPr>
          <w:bCs/>
          <w:b/>
        </w:rPr>
        <w:t xml:space="preserve">12</w:t>
      </w:r>
      <w:r>
        <w:t xml:space="preserve">, 23–44 (2007). https://doi.org/10.1037/1082-989X.12.1.23</w:t>
      </w:r>
    </w:p>
    <w:p>
      <w:pPr>
        <w:numPr>
          <w:ilvl w:val="0"/>
          <w:numId w:val="1001"/>
        </w:numPr>
        <w:pStyle w:val="Compact"/>
      </w:pPr>
      <w:r>
        <w:t xml:space="preserve">Li CH. Confirmatory factor analysis with ordinal data: comparing robust maximum likelihood and diagonally weighted least squares.</w:t>
      </w:r>
      <w:r>
        <w:t xml:space="preserve"> </w:t>
      </w:r>
      <w:r>
        <w:rPr>
          <w:iCs/>
          <w:i/>
        </w:rPr>
        <w:t xml:space="preserve">Behav. Res. Methods</w:t>
      </w:r>
      <w:r>
        <w:t xml:space="preserve"> </w:t>
      </w:r>
      <w:r>
        <w:rPr>
          <w:bCs/>
          <w:b/>
        </w:rPr>
        <w:t xml:space="preserve">48</w:t>
      </w:r>
      <w:r>
        <w:t xml:space="preserve">, 936–949 (2016). https://doi.org/10.3758/s13428-015-0619-7</w:t>
      </w:r>
    </w:p>
    <w:p>
      <w:pPr>
        <w:numPr>
          <w:ilvl w:val="0"/>
          <w:numId w:val="1001"/>
        </w:numPr>
        <w:pStyle w:val="Compact"/>
      </w:pPr>
      <w:r>
        <w:t xml:space="preserve">Rosseel Y. lavaan: an R package for structural equation modeling.</w:t>
      </w:r>
      <w:r>
        <w:t xml:space="preserve"> </w:t>
      </w:r>
      <w:r>
        <w:rPr>
          <w:iCs/>
          <w:i/>
        </w:rPr>
        <w:t xml:space="preserve">J. Stat. Softw.</w:t>
      </w:r>
      <w:r>
        <w:t xml:space="preserve"> </w:t>
      </w:r>
      <w:r>
        <w:rPr>
          <w:bCs/>
          <w:b/>
        </w:rPr>
        <w:t xml:space="preserve">48</w:t>
      </w:r>
      <w:r>
        <w:t xml:space="preserve">, 1–36 (2012). https://doi.org/10.18637/jss.v048.i02</w:t>
      </w:r>
    </w:p>
    <w:p>
      <w:pPr>
        <w:numPr>
          <w:ilvl w:val="0"/>
          <w:numId w:val="1001"/>
        </w:numPr>
        <w:pStyle w:val="Compact"/>
      </w:pPr>
      <w:r>
        <w:t xml:space="preserve">Hu LT, Bentler PM. Cutoff criteria for fit indexes in covariance structure analysis: conventional criteria versus new alternatives.</w:t>
      </w:r>
      <w:r>
        <w:t xml:space="preserve"> </w:t>
      </w:r>
      <w:r>
        <w:rPr>
          <w:iCs/>
          <w:i/>
        </w:rPr>
        <w:t xml:space="preserve">Struct. Equ. Modeling</w:t>
      </w:r>
      <w:r>
        <w:t xml:space="preserve"> </w:t>
      </w:r>
      <w:r>
        <w:rPr>
          <w:bCs/>
          <w:b/>
        </w:rPr>
        <w:t xml:space="preserve">6</w:t>
      </w:r>
      <w:r>
        <w:t xml:space="preserve">, 1–55 (1999). https://doi.org/10.1080/10705519909540118</w:t>
      </w:r>
    </w:p>
    <w:p>
      <w:pPr>
        <w:numPr>
          <w:ilvl w:val="0"/>
          <w:numId w:val="1001"/>
        </w:numPr>
        <w:pStyle w:val="Compact"/>
      </w:pPr>
      <w:r>
        <w:t xml:space="preserve">Jorgensen TD, Pornprasertmanit S, Schoemann AM, Rosseel Y. semTools: useful tools for structural equation modeling. R package version 0.5-6 (2022). https://CRAN.R-project.org/package=semTools</w:t>
      </w:r>
    </w:p>
    <w:p>
      <w:pPr>
        <w:numPr>
          <w:ilvl w:val="0"/>
          <w:numId w:val="1001"/>
        </w:numPr>
        <w:pStyle w:val="Compact"/>
      </w:pPr>
      <w:r>
        <w:t xml:space="preserve">Henseler J, Ringle CM, Sarstedt M. A new criterion for assessing discriminant validity in variance-based structural equation modeling.</w:t>
      </w:r>
      <w:r>
        <w:t xml:space="preserve"> </w:t>
      </w:r>
      <w:r>
        <w:rPr>
          <w:iCs/>
          <w:i/>
        </w:rPr>
        <w:t xml:space="preserve">J. Acad. Mark. Sci.</w:t>
      </w:r>
      <w:r>
        <w:t xml:space="preserve"> </w:t>
      </w:r>
      <w:r>
        <w:rPr>
          <w:bCs/>
          <w:b/>
        </w:rPr>
        <w:t xml:space="preserve">43</w:t>
      </w:r>
      <w:r>
        <w:t xml:space="preserve">, 115–135 (2015). https://doi.org/10.1007/s11747-014-0403-8</w:t>
      </w:r>
    </w:p>
    <w:p>
      <w:pPr>
        <w:numPr>
          <w:ilvl w:val="0"/>
          <w:numId w:val="1001"/>
        </w:numPr>
        <w:pStyle w:val="Compact"/>
      </w:pPr>
      <w:r>
        <w:t xml:space="preserve">Fornell C, Larcker DF. Evaluating structural equation models with unobservable variables and measurement error.</w:t>
      </w:r>
      <w:r>
        <w:t xml:space="preserve"> </w:t>
      </w:r>
      <w:r>
        <w:rPr>
          <w:iCs/>
          <w:i/>
        </w:rPr>
        <w:t xml:space="preserve">J. Mark. Res.</w:t>
      </w:r>
      <w:r>
        <w:t xml:space="preserve"> </w:t>
      </w:r>
      <w:r>
        <w:rPr>
          <w:bCs/>
          <w:b/>
        </w:rPr>
        <w:t xml:space="preserve">18</w:t>
      </w:r>
      <w:r>
        <w:t xml:space="preserve">, 39–50 (1981). https://doi.org/10.1177/002224378101800104</w:t>
      </w:r>
    </w:p>
    <w:p>
      <w:pPr>
        <w:numPr>
          <w:ilvl w:val="0"/>
          <w:numId w:val="1001"/>
        </w:numPr>
        <w:pStyle w:val="Compact"/>
      </w:pPr>
      <w:r>
        <w:t xml:space="preserve">Hayes AF.</w:t>
      </w:r>
      <w:r>
        <w:t xml:space="preserve"> </w:t>
      </w:r>
      <w:r>
        <w:rPr>
          <w:iCs/>
          <w:i/>
        </w:rPr>
        <w:t xml:space="preserve">Introduction to Mediation, Moderation, and Conditional Process Analysis: A Regression-Based Approach</w:t>
      </w:r>
      <w:r>
        <w:t xml:space="preserve"> </w:t>
      </w:r>
      <w:r>
        <w:t xml:space="preserve">3rd edn (Guilford Press, 2022).</w:t>
      </w:r>
    </w:p>
    <w:p>
      <w:pPr>
        <w:numPr>
          <w:ilvl w:val="0"/>
          <w:numId w:val="1001"/>
        </w:numPr>
        <w:pStyle w:val="Compact"/>
      </w:pPr>
      <w:r>
        <w:t xml:space="preserve">Zhao X, Lynch JG Jr, Chen Q. Reconsidering Baron and Kenny: myths and truths about mediation analysis.</w:t>
      </w:r>
      <w:r>
        <w:t xml:space="preserve"> </w:t>
      </w:r>
      <w:r>
        <w:rPr>
          <w:iCs/>
          <w:i/>
        </w:rPr>
        <w:t xml:space="preserve">J. Consum. Res.</w:t>
      </w:r>
      <w:r>
        <w:t xml:space="preserve"> </w:t>
      </w:r>
      <w:r>
        <w:rPr>
          <w:bCs/>
          <w:b/>
        </w:rPr>
        <w:t xml:space="preserve">37</w:t>
      </w:r>
      <w:r>
        <w:t xml:space="preserve">, 197–206 (2010). https://doi.org/10.1086/651257</w:t>
      </w:r>
    </w:p>
    <w:bookmarkEnd w:id="40"/>
    <w:bookmarkStart w:id="47" w:name="figures"/>
    <w:p>
      <w:pPr>
        <w:pStyle w:val="Heading1"/>
      </w:pPr>
      <w:r>
        <w:t xml:space="preserve">Figures</w:t>
      </w:r>
    </w:p>
    <w:p>
      <w:pPr>
        <w:pStyle w:val="FirstParagraph"/>
      </w:pPr>
      <w:r>
        <w:drawing>
          <wp:inline>
            <wp:extent cx="5302908" cy="2229423"/>
            <wp:effectExtent b="0" l="0" r="0" t="0"/>
            <wp:docPr descr="" title="" id="42" name="Picture"/>
            <a:graphic>
              <a:graphicData uri="http://schemas.openxmlformats.org/drawingml/2006/picture">
                <pic:pic>
                  <pic:nvPicPr>
                    <pic:cNvPr descr="figures/fig1_model.png" id="43" name="Picture"/>
                    <pic:cNvPicPr>
                      <a:picLocks noChangeArrowheads="1" noChangeAspect="1"/>
                    </pic:cNvPicPr>
                  </pic:nvPicPr>
                  <pic:blipFill>
                    <a:blip r:embed="rId41"/>
                    <a:stretch>
                      <a:fillRect/>
                    </a:stretch>
                  </pic:blipFill>
                  <pic:spPr bwMode="auto">
                    <a:xfrm>
                      <a:off x="0" y="0"/>
                      <a:ext cx="5302908" cy="2229423"/>
                    </a:xfrm>
                    <a:prstGeom prst="rect">
                      <a:avLst/>
                    </a:prstGeom>
                    <a:noFill/>
                    <a:ln w="9525">
                      <a:noFill/>
                      <a:headEnd/>
                      <a:tailEnd/>
                    </a:ln>
                  </pic:spPr>
                </pic:pic>
              </a:graphicData>
            </a:graphic>
          </wp:inline>
        </w:drawing>
      </w:r>
    </w:p>
    <w:p>
      <w:pPr>
        <w:pStyle w:val="BodyText"/>
      </w:pPr>
      <w:r>
        <w:rPr>
          <w:bCs/>
          <w:b/>
        </w:rPr>
        <w:t xml:space="preserve">Fig. 1 | Conceptual model and standardised path estimates.</w:t>
      </w:r>
      <w:r>
        <w:t xml:space="preserve"> </w:t>
      </w:r>
      <w:r>
        <w:t xml:space="preserve">Strategic planning (SP) is hypothesised to relate to institutional resilience (IR) directly (c′) and indirectly through capacity development (CD; paths a and b). Values are standardised WLSMV estimates for the full sample (N = 416); values in brackets are for respondents with varied answers (n = 207). The indirect effect is reported with a 95% Monte Carlo confidence interval. ***P &lt; 0.001.</w:t>
      </w:r>
    </w:p>
    <w:p>
      <w:pPr>
        <w:pStyle w:val="BodyText"/>
      </w:pPr>
      <w:r>
        <w:drawing>
          <wp:inline>
            <wp:extent cx="5334000" cy="3088630"/>
            <wp:effectExtent b="0" l="0" r="0" t="0"/>
            <wp:docPr descr="" title="" id="45" name="Picture"/>
            <a:graphic>
              <a:graphicData uri="http://schemas.openxmlformats.org/drawingml/2006/picture">
                <pic:pic>
                  <pic:nvPicPr>
                    <pic:cNvPr descr="figures/fig2_item_distributions.png" id="46" name="Picture"/>
                    <pic:cNvPicPr>
                      <a:picLocks noChangeArrowheads="1" noChangeAspect="1"/>
                    </pic:cNvPicPr>
                  </pic:nvPicPr>
                  <pic:blipFill>
                    <a:blip r:embed="rId44"/>
                    <a:stretch>
                      <a:fillRect/>
                    </a:stretch>
                  </pic:blipFill>
                  <pic:spPr bwMode="auto">
                    <a:xfrm>
                      <a:off x="0" y="0"/>
                      <a:ext cx="5334000" cy="3088630"/>
                    </a:xfrm>
                    <a:prstGeom prst="rect">
                      <a:avLst/>
                    </a:prstGeom>
                    <a:noFill/>
                    <a:ln w="9525">
                      <a:noFill/>
                      <a:headEnd/>
                      <a:tailEnd/>
                    </a:ln>
                  </pic:spPr>
                </pic:pic>
              </a:graphicData>
            </a:graphic>
          </wp:inline>
        </w:drawing>
      </w:r>
    </w:p>
    <w:p>
      <w:pPr>
        <w:pStyle w:val="BodyText"/>
      </w:pPr>
      <w:r>
        <w:rPr>
          <w:bCs/>
          <w:b/>
        </w:rPr>
        <w:t xml:space="preserve">Fig. 2 | Distribution of responses.</w:t>
      </w:r>
      <w:r>
        <w:t xml:space="preserve"> </w:t>
      </w:r>
      <w:r>
        <w:rPr>
          <w:bCs/>
          <w:b/>
        </w:rPr>
        <w:t xml:space="preserve">a</w:t>
      </w:r>
      <w:r>
        <w:t xml:space="preserve">, 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Number of items (of 20) each respondent rated 7 (</w:t>
      </w:r>
      <w:r>
        <w:t xml:space="preserve">“</w:t>
      </w:r>
      <w:r>
        <w:t xml:space="preserve">strongly agree</w:t>
      </w:r>
      <w:r>
        <w:t xml:space="preserve">”</w:t>
      </w:r>
      <w:r>
        <w:t xml:space="preserve">); 207 of 416 respondents rated every item 7.</w:t>
      </w:r>
    </w:p>
    <w:bookmarkEnd w:id="47"/>
    <w:bookmarkStart w:id="48" w:name="tables"/>
    <w:p>
      <w:pPr>
        <w:pStyle w:val="Heading1"/>
      </w:pPr>
      <w:r>
        <w:t xml:space="preserve">Tables</w:t>
      </w:r>
    </w:p>
    <w:p>
      <w:pPr>
        <w:pStyle w:val="FirstParagraph"/>
      </w:pPr>
      <w:r>
        <w:rPr>
          <w:bCs/>
          <w:b/>
        </w:rPr>
        <w:t xml:space="preserve">Table 1 | 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Characteristic</w:t>
            </w:r>
          </w:p>
        </w:tc>
        <w:tc>
          <w:tcPr/>
          <w:p>
            <w:pPr>
              <w:pStyle w:val="Compact"/>
              <w:jc w:val="left"/>
            </w:pPr>
            <w:r>
              <w:t xml:space="preserve">Category</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Gender</w:t>
            </w:r>
          </w:p>
        </w:tc>
        <w:tc>
          <w:tcPr/>
          <w:p>
            <w:pPr>
              <w:pStyle w:val="Compact"/>
              <w:jc w:val="left"/>
            </w:pPr>
            <w:r>
              <w:t xml:space="preserve">Male</w:t>
            </w:r>
          </w:p>
        </w:tc>
        <w:tc>
          <w:tcPr/>
          <w:p>
            <w:pPr>
              <w:pStyle w:val="Compact"/>
              <w:jc w:val="right"/>
            </w:pPr>
            <w:r>
              <w:t xml:space="preserve">265</w:t>
            </w:r>
          </w:p>
        </w:tc>
        <w:tc>
          <w:tcPr/>
          <w:p>
            <w:pPr>
              <w:pStyle w:val="Compact"/>
              <w:jc w:val="right"/>
            </w:pPr>
            <w:r>
              <w:t xml:space="preserve">63.7</w:t>
            </w:r>
          </w:p>
        </w:tc>
      </w:tr>
      <w:tr>
        <w:tc>
          <w:tcPr/>
          <w:p>
            <w:pPr>
              <w:pStyle w:val="Compact"/>
            </w:pPr>
          </w:p>
        </w:tc>
        <w:tc>
          <w:tcPr/>
          <w:p>
            <w:pPr>
              <w:pStyle w:val="Compact"/>
              <w:jc w:val="left"/>
            </w:pPr>
            <w:r>
              <w:t xml:space="preserve">Female</w:t>
            </w:r>
          </w:p>
        </w:tc>
        <w:tc>
          <w:tcPr/>
          <w:p>
            <w:pPr>
              <w:pStyle w:val="Compact"/>
              <w:jc w:val="right"/>
            </w:pPr>
            <w:r>
              <w:t xml:space="preserve">151</w:t>
            </w:r>
          </w:p>
        </w:tc>
        <w:tc>
          <w:tcPr/>
          <w:p>
            <w:pPr>
              <w:pStyle w:val="Compact"/>
              <w:jc w:val="right"/>
            </w:pPr>
            <w:r>
              <w:t xml:space="preserve">36.3</w:t>
            </w:r>
          </w:p>
        </w:tc>
      </w:tr>
      <w:tr>
        <w:tc>
          <w:tcPr/>
          <w:p>
            <w:pPr>
              <w:pStyle w:val="Compact"/>
              <w:jc w:val="left"/>
            </w:pPr>
            <w:r>
              <w:t xml:space="preserve">Age group</w:t>
            </w:r>
          </w:p>
        </w:tc>
        <w:tc>
          <w:tcPr/>
          <w:p>
            <w:pPr>
              <w:pStyle w:val="Compact"/>
              <w:jc w:val="left"/>
            </w:pPr>
            <w:r>
              <w:t xml:space="preserve">40–49</w:t>
            </w:r>
          </w:p>
        </w:tc>
        <w:tc>
          <w:tcPr/>
          <w:p>
            <w:pPr>
              <w:pStyle w:val="Compact"/>
              <w:jc w:val="right"/>
            </w:pPr>
            <w:r>
              <w:t xml:space="preserve">299</w:t>
            </w:r>
          </w:p>
        </w:tc>
        <w:tc>
          <w:tcPr/>
          <w:p>
            <w:pPr>
              <w:pStyle w:val="Compact"/>
              <w:jc w:val="right"/>
            </w:pPr>
            <w:r>
              <w:t xml:space="preserve">71.9</w:t>
            </w:r>
          </w:p>
        </w:tc>
      </w:tr>
      <w:tr>
        <w:tc>
          <w:tcPr/>
          <w:p>
            <w:pPr>
              <w:pStyle w:val="Compact"/>
            </w:pPr>
          </w:p>
        </w:tc>
        <w:tc>
          <w:tcPr/>
          <w:p>
            <w:pPr>
              <w:pStyle w:val="Compact"/>
              <w:jc w:val="left"/>
            </w:pPr>
            <w:r>
              <w:t xml:space="preserve">30–39</w:t>
            </w:r>
          </w:p>
        </w:tc>
        <w:tc>
          <w:tcPr/>
          <w:p>
            <w:pPr>
              <w:pStyle w:val="Compact"/>
              <w:jc w:val="right"/>
            </w:pPr>
            <w:r>
              <w:t xml:space="preserve">52</w:t>
            </w:r>
          </w:p>
        </w:tc>
        <w:tc>
          <w:tcPr/>
          <w:p>
            <w:pPr>
              <w:pStyle w:val="Compact"/>
              <w:jc w:val="right"/>
            </w:pPr>
            <w:r>
              <w:t xml:space="preserve">12.5</w:t>
            </w:r>
          </w:p>
        </w:tc>
      </w:tr>
      <w:tr>
        <w:tc>
          <w:tcPr/>
          <w:p>
            <w:pPr>
              <w:pStyle w:val="Compact"/>
            </w:pPr>
          </w:p>
        </w:tc>
        <w:tc>
          <w:tcPr/>
          <w:p>
            <w:pPr>
              <w:pStyle w:val="Compact"/>
              <w:jc w:val="left"/>
            </w:pPr>
            <w:r>
              <w:t xml:space="preserve">50 or older</w:t>
            </w:r>
          </w:p>
        </w:tc>
        <w:tc>
          <w:tcPr/>
          <w:p>
            <w:pPr>
              <w:pStyle w:val="Compact"/>
              <w:jc w:val="right"/>
            </w:pPr>
            <w:r>
              <w:t xml:space="preserve">47</w:t>
            </w:r>
          </w:p>
        </w:tc>
        <w:tc>
          <w:tcPr/>
          <w:p>
            <w:pPr>
              <w:pStyle w:val="Compact"/>
              <w:jc w:val="right"/>
            </w:pPr>
            <w:r>
              <w:t xml:space="preserve">11.3</w:t>
            </w:r>
          </w:p>
        </w:tc>
      </w:tr>
      <w:tr>
        <w:tc>
          <w:tcPr/>
          <w:p>
            <w:pPr>
              <w:pStyle w:val="Compact"/>
            </w:pPr>
          </w:p>
        </w:tc>
        <w:tc>
          <w:tcPr/>
          <w:p>
            <w:pPr>
              <w:pStyle w:val="Compact"/>
              <w:jc w:val="left"/>
            </w:pPr>
            <w:r>
              <w:t xml:space="preserve">Under 30</w:t>
            </w:r>
          </w:p>
        </w:tc>
        <w:tc>
          <w:tcPr/>
          <w:p>
            <w:pPr>
              <w:pStyle w:val="Compact"/>
              <w:jc w:val="right"/>
            </w:pPr>
            <w:r>
              <w:t xml:space="preserve">9</w:t>
            </w:r>
          </w:p>
        </w:tc>
        <w:tc>
          <w:tcPr/>
          <w:p>
            <w:pPr>
              <w:pStyle w:val="Compact"/>
              <w:jc w:val="right"/>
            </w:pPr>
            <w:r>
              <w:t xml:space="preserve">2.2</w:t>
            </w:r>
          </w:p>
        </w:tc>
      </w:tr>
      <w:tr>
        <w:tc>
          <w:tcPr/>
          <w:p>
            <w:pPr>
              <w:pStyle w:val="Compact"/>
            </w:pPr>
          </w:p>
        </w:tc>
        <w:tc>
          <w:tcPr/>
          <w:p>
            <w:pPr>
              <w:pStyle w:val="Compact"/>
              <w:jc w:val="left"/>
            </w:pPr>
            <w:r>
              <w:t xml:space="preserve">Missing</w:t>
            </w:r>
          </w:p>
        </w:tc>
        <w:tc>
          <w:tcPr/>
          <w:p>
            <w:pPr>
              <w:pStyle w:val="Compact"/>
              <w:jc w:val="right"/>
            </w:pPr>
            <w:r>
              <w:t xml:space="preserve">9</w:t>
            </w:r>
          </w:p>
        </w:tc>
        <w:tc>
          <w:tcPr/>
          <w:p>
            <w:pPr>
              <w:pStyle w:val="Compact"/>
              <w:jc w:val="right"/>
            </w:pPr>
            <w:r>
              <w:t xml:space="preserve">2.2</w:t>
            </w:r>
          </w:p>
        </w:tc>
      </w:tr>
      <w:tr>
        <w:tc>
          <w:tcPr/>
          <w:p>
            <w:pPr>
              <w:pStyle w:val="Compact"/>
              <w:jc w:val="left"/>
            </w:pPr>
            <w:r>
              <w:t xml:space="preserve">Organisation type</w:t>
            </w:r>
          </w:p>
        </w:tc>
        <w:tc>
          <w:tcPr/>
          <w:p>
            <w:pPr>
              <w:pStyle w:val="Compact"/>
              <w:jc w:val="left"/>
            </w:pPr>
            <w:r>
              <w:t xml:space="preserve">Private Hospital</w:t>
            </w:r>
          </w:p>
        </w:tc>
        <w:tc>
          <w:tcPr/>
          <w:p>
            <w:pPr>
              <w:pStyle w:val="Compact"/>
              <w:jc w:val="right"/>
            </w:pPr>
            <w:r>
              <w:t xml:space="preserve">358</w:t>
            </w:r>
          </w:p>
        </w:tc>
        <w:tc>
          <w:tcPr/>
          <w:p>
            <w:pPr>
              <w:pStyle w:val="Compact"/>
              <w:jc w:val="right"/>
            </w:pPr>
            <w:r>
              <w:t xml:space="preserve">86.1</w:t>
            </w:r>
          </w:p>
        </w:tc>
      </w:tr>
      <w:tr>
        <w:tc>
          <w:tcPr/>
          <w:p>
            <w:pPr>
              <w:pStyle w:val="Compact"/>
            </w:pPr>
          </w:p>
        </w:tc>
        <w:tc>
          <w:tcPr/>
          <w:p>
            <w:pPr>
              <w:pStyle w:val="Compact"/>
              <w:jc w:val="left"/>
            </w:pPr>
            <w:r>
              <w:t xml:space="preserve">Private Health Company</w:t>
            </w:r>
          </w:p>
        </w:tc>
        <w:tc>
          <w:tcPr/>
          <w:p>
            <w:pPr>
              <w:pStyle w:val="Compact"/>
              <w:jc w:val="right"/>
            </w:pPr>
            <w:r>
              <w:t xml:space="preserve">39</w:t>
            </w:r>
          </w:p>
        </w:tc>
        <w:tc>
          <w:tcPr/>
          <w:p>
            <w:pPr>
              <w:pStyle w:val="Compact"/>
              <w:jc w:val="right"/>
            </w:pPr>
            <w:r>
              <w:t xml:space="preserve">9.4</w:t>
            </w:r>
          </w:p>
        </w:tc>
      </w:tr>
      <w:tr>
        <w:tc>
          <w:tcPr/>
          <w:p>
            <w:pPr>
              <w:pStyle w:val="Compact"/>
            </w:pPr>
          </w:p>
        </w:tc>
        <w:tc>
          <w:tcPr/>
          <w:p>
            <w:pPr>
              <w:pStyle w:val="Compact"/>
              <w:jc w:val="left"/>
            </w:pPr>
            <w:r>
              <w:t xml:space="preserve">NGO</w:t>
            </w:r>
          </w:p>
        </w:tc>
        <w:tc>
          <w:tcPr/>
          <w:p>
            <w:pPr>
              <w:pStyle w:val="Compact"/>
              <w:jc w:val="right"/>
            </w:pPr>
            <w:r>
              <w:t xml:space="preserve">5</w:t>
            </w:r>
          </w:p>
        </w:tc>
        <w:tc>
          <w:tcPr/>
          <w:p>
            <w:pPr>
              <w:pStyle w:val="Compact"/>
              <w:jc w:val="right"/>
            </w:pPr>
            <w:r>
              <w:t xml:space="preserve">1.2</w:t>
            </w:r>
          </w:p>
        </w:tc>
      </w:tr>
      <w:tr>
        <w:tc>
          <w:tcPr/>
          <w:p>
            <w:pPr>
              <w:pStyle w:val="Compact"/>
            </w:pPr>
          </w:p>
        </w:tc>
        <w:tc>
          <w:tcPr/>
          <w:p>
            <w:pPr>
              <w:pStyle w:val="Compact"/>
              <w:jc w:val="left"/>
            </w:pPr>
            <w:r>
              <w:t xml:space="preserve">Public Hospital</w:t>
            </w:r>
          </w:p>
        </w:tc>
        <w:tc>
          <w:tcPr/>
          <w:p>
            <w:pPr>
              <w:pStyle w:val="Compact"/>
              <w:jc w:val="right"/>
            </w:pPr>
            <w:r>
              <w:t xml:space="preserve">4</w:t>
            </w:r>
          </w:p>
        </w:tc>
        <w:tc>
          <w:tcPr/>
          <w:p>
            <w:pPr>
              <w:pStyle w:val="Compact"/>
              <w:jc w:val="right"/>
            </w:pPr>
            <w:r>
              <w:t xml:space="preserve">1.0</w:t>
            </w:r>
          </w:p>
        </w:tc>
      </w:tr>
      <w:tr>
        <w:tc>
          <w:tcPr/>
          <w:p>
            <w:pPr>
              <w:pStyle w:val="Compact"/>
            </w:pPr>
          </w:p>
        </w:tc>
        <w:tc>
          <w:tcPr/>
          <w:p>
            <w:pPr>
              <w:pStyle w:val="Compact"/>
              <w:jc w:val="left"/>
            </w:pPr>
            <w:r>
              <w:t xml:space="preserve">Governorate Health Directorate</w:t>
            </w:r>
          </w:p>
        </w:tc>
        <w:tc>
          <w:tcPr/>
          <w:p>
            <w:pPr>
              <w:pStyle w:val="Compact"/>
              <w:jc w:val="right"/>
            </w:pPr>
            <w:r>
              <w:t xml:space="preserve">4</w:t>
            </w:r>
          </w:p>
        </w:tc>
        <w:tc>
          <w:tcPr/>
          <w:p>
            <w:pPr>
              <w:pStyle w:val="Compact"/>
              <w:jc w:val="right"/>
            </w:pPr>
            <w:r>
              <w:t xml:space="preserve">1.0</w:t>
            </w:r>
          </w:p>
        </w:tc>
      </w:tr>
      <w:tr>
        <w:tc>
          <w:tcPr/>
          <w:p>
            <w:pPr>
              <w:pStyle w:val="Compact"/>
            </w:pPr>
          </w:p>
        </w:tc>
        <w:tc>
          <w:tcPr/>
          <w:p>
            <w:pPr>
              <w:pStyle w:val="Compact"/>
              <w:jc w:val="left"/>
            </w:pPr>
            <w:r>
              <w:t xml:space="preserve">Missing</w:t>
            </w:r>
          </w:p>
        </w:tc>
        <w:tc>
          <w:tcPr/>
          <w:p>
            <w:pPr>
              <w:pStyle w:val="Compact"/>
              <w:jc w:val="right"/>
            </w:pPr>
            <w:r>
              <w:t xml:space="preserve">4</w:t>
            </w:r>
          </w:p>
        </w:tc>
        <w:tc>
          <w:tcPr/>
          <w:p>
            <w:pPr>
              <w:pStyle w:val="Compact"/>
              <w:jc w:val="right"/>
            </w:pPr>
            <w:r>
              <w:t xml:space="preserve">1.0</w:t>
            </w:r>
          </w:p>
        </w:tc>
      </w:tr>
      <w:tr>
        <w:tc>
          <w:tcPr/>
          <w:p>
            <w:pPr>
              <w:pStyle w:val="Compact"/>
            </w:pPr>
          </w:p>
        </w:tc>
        <w:tc>
          <w:tcPr/>
          <w:p>
            <w:pPr>
              <w:pStyle w:val="Compact"/>
              <w:jc w:val="left"/>
            </w:pPr>
            <w:r>
              <w:t xml:space="preserve">Other</w:t>
            </w:r>
          </w:p>
        </w:tc>
        <w:tc>
          <w:tcPr/>
          <w:p>
            <w:pPr>
              <w:pStyle w:val="Compact"/>
              <w:jc w:val="right"/>
            </w:pPr>
            <w:r>
              <w:t xml:space="preserve">2</w:t>
            </w:r>
          </w:p>
        </w:tc>
        <w:tc>
          <w:tcPr/>
          <w:p>
            <w:pPr>
              <w:pStyle w:val="Compact"/>
              <w:jc w:val="right"/>
            </w:pPr>
            <w:r>
              <w:t xml:space="preserve">0.5</w:t>
            </w:r>
          </w:p>
        </w:tc>
      </w:tr>
      <w:tr>
        <w:tc>
          <w:tcPr/>
          <w:p>
            <w:pPr>
              <w:pStyle w:val="Compact"/>
              <w:jc w:val="left"/>
            </w:pPr>
            <w:r>
              <w:t xml:space="preserve">Health-sector experience</w:t>
            </w:r>
          </w:p>
        </w:tc>
        <w:tc>
          <w:tcPr/>
          <w:p>
            <w:pPr>
              <w:pStyle w:val="Compact"/>
              <w:jc w:val="left"/>
            </w:pPr>
            <w:r>
              <w:t xml:space="preserve">More than 15 years</w:t>
            </w:r>
          </w:p>
        </w:tc>
        <w:tc>
          <w:tcPr/>
          <w:p>
            <w:pPr>
              <w:pStyle w:val="Compact"/>
              <w:jc w:val="right"/>
            </w:pPr>
            <w:r>
              <w:t xml:space="preserve">371</w:t>
            </w:r>
          </w:p>
        </w:tc>
        <w:tc>
          <w:tcPr/>
          <w:p>
            <w:pPr>
              <w:pStyle w:val="Compact"/>
              <w:jc w:val="right"/>
            </w:pPr>
            <w:r>
              <w:t xml:space="preserve">89.2</w:t>
            </w:r>
          </w:p>
        </w:tc>
      </w:tr>
      <w:tr>
        <w:tc>
          <w:tcPr/>
          <w:p>
            <w:pPr>
              <w:pStyle w:val="Compact"/>
            </w:pPr>
          </w:p>
        </w:tc>
        <w:tc>
          <w:tcPr/>
          <w:p>
            <w:pPr>
              <w:pStyle w:val="Compact"/>
              <w:jc w:val="left"/>
            </w:pPr>
            <w:r>
              <w:t xml:space="preserve">11–15 years</w:t>
            </w:r>
          </w:p>
        </w:tc>
        <w:tc>
          <w:tcPr/>
          <w:p>
            <w:pPr>
              <w:pStyle w:val="Compact"/>
              <w:jc w:val="right"/>
            </w:pPr>
            <w:r>
              <w:t xml:space="preserve">33</w:t>
            </w:r>
          </w:p>
        </w:tc>
        <w:tc>
          <w:tcPr/>
          <w:p>
            <w:pPr>
              <w:pStyle w:val="Compact"/>
              <w:jc w:val="right"/>
            </w:pPr>
            <w:r>
              <w:t xml:space="preserve">7.9</w:t>
            </w:r>
          </w:p>
        </w:tc>
      </w:tr>
      <w:tr>
        <w:tc>
          <w:tcPr/>
          <w:p>
            <w:pPr>
              <w:pStyle w:val="Compact"/>
            </w:pPr>
          </w:p>
        </w:tc>
        <w:tc>
          <w:tcPr/>
          <w:p>
            <w:pPr>
              <w:pStyle w:val="Compact"/>
              <w:jc w:val="left"/>
            </w:pPr>
            <w:r>
              <w:t xml:space="preserve">5–10 years</w:t>
            </w:r>
          </w:p>
        </w:tc>
        <w:tc>
          <w:tcPr/>
          <w:p>
            <w:pPr>
              <w:pStyle w:val="Compact"/>
              <w:jc w:val="right"/>
            </w:pPr>
            <w:r>
              <w:t xml:space="preserve">8</w:t>
            </w:r>
          </w:p>
        </w:tc>
        <w:tc>
          <w:tcPr/>
          <w:p>
            <w:pPr>
              <w:pStyle w:val="Compact"/>
              <w:jc w:val="right"/>
            </w:pPr>
            <w:r>
              <w:t xml:space="preserve">1.9</w:t>
            </w:r>
          </w:p>
        </w:tc>
      </w:tr>
      <w:tr>
        <w:tc>
          <w:tcPr/>
          <w:p>
            <w:pPr>
              <w:pStyle w:val="Compact"/>
            </w:pPr>
          </w:p>
        </w:tc>
        <w:tc>
          <w:tcPr/>
          <w:p>
            <w:pPr>
              <w:pStyle w:val="Compact"/>
              <w:jc w:val="left"/>
            </w:pPr>
            <w:r>
              <w:t xml:space="preserve">Less than 5 years</w:t>
            </w:r>
          </w:p>
        </w:tc>
        <w:tc>
          <w:tcPr/>
          <w:p>
            <w:pPr>
              <w:pStyle w:val="Compact"/>
              <w:jc w:val="right"/>
            </w:pPr>
            <w:r>
              <w:t xml:space="preserve">3</w:t>
            </w:r>
          </w:p>
        </w:tc>
        <w:tc>
          <w:tcPr/>
          <w:p>
            <w:pPr>
              <w:pStyle w:val="Compact"/>
              <w:jc w:val="right"/>
            </w:pPr>
            <w:r>
              <w:t xml:space="preserve">0.7</w:t>
            </w:r>
          </w:p>
        </w:tc>
      </w:tr>
      <w:tr>
        <w:tc>
          <w:tcPr/>
          <w:p>
            <w:pPr>
              <w:pStyle w:val="Compact"/>
            </w:pPr>
          </w:p>
        </w:tc>
        <w:tc>
          <w:tcPr/>
          <w:p>
            <w:pPr>
              <w:pStyle w:val="Compact"/>
              <w:jc w:val="left"/>
            </w:pPr>
            <w:r>
              <w:t xml:space="preserve">Missing</w:t>
            </w:r>
          </w:p>
        </w:tc>
        <w:tc>
          <w:tcPr/>
          <w:p>
            <w:pPr>
              <w:pStyle w:val="Compact"/>
              <w:jc w:val="right"/>
            </w:pPr>
            <w:r>
              <w:t xml:space="preserve">1</w:t>
            </w:r>
          </w:p>
        </w:tc>
        <w:tc>
          <w:tcPr/>
          <w:p>
            <w:pPr>
              <w:pStyle w:val="Compact"/>
              <w:jc w:val="right"/>
            </w:pPr>
            <w:r>
              <w:t xml:space="preserve">0.2</w:t>
            </w:r>
          </w:p>
        </w:tc>
      </w:tr>
    </w:tbl>
    <w:p>
      <w:pPr>
        <w:pStyle w:val="BodyText"/>
      </w:pPr>
      <w:r>
        <w:rPr>
          <w:bCs/>
          <w:b/>
        </w:rPr>
        <w:t xml:space="preserve">Table 2 | 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Construct</w:t>
            </w:r>
          </w:p>
        </w:tc>
        <w:tc>
          <w:tcPr/>
          <w:p>
            <w:pPr>
              <w:pStyle w:val="Compact"/>
              <w:jc w:val="right"/>
            </w:pPr>
            <w:r>
              <w:t xml:space="preserve">Items</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 scoring 7</w:t>
            </w:r>
          </w:p>
        </w:tc>
        <w:tc>
          <w:tcPr/>
          <w:p>
            <w:pPr>
              <w:pStyle w:val="Compact"/>
              <w:jc w:val="right"/>
            </w:pPr>
            <w:r>
              <w:t xml:space="preserve">Cronbach’s α</w:t>
            </w:r>
          </w:p>
        </w:tc>
        <w:tc>
          <w:tcPr/>
          <w:p>
            <w:pPr>
              <w:pStyle w:val="Compact"/>
              <w:jc w:val="left"/>
            </w:pPr>
            <w:r>
              <w:t xml:space="preserve">r with SP</w:t>
            </w:r>
          </w:p>
        </w:tc>
        <w:tc>
          <w:tcPr/>
          <w:p>
            <w:pPr>
              <w:pStyle w:val="Compact"/>
              <w:jc w:val="left"/>
            </w:pPr>
            <w:r>
              <w:t xml:space="preserve">r with CD</w:t>
            </w:r>
          </w:p>
        </w:tc>
      </w:tr>
      <w:tr>
        <w:tc>
          <w:tcPr/>
          <w:p>
            <w:pPr>
              <w:pStyle w:val="Compact"/>
              <w:jc w:val="left"/>
            </w:pPr>
            <w:r>
              <w:t xml:space="preserve">SP Strategic planning</w:t>
            </w:r>
          </w:p>
        </w:tc>
        <w:tc>
          <w:tcPr/>
          <w:p>
            <w:pPr>
              <w:pStyle w:val="Compact"/>
              <w:jc w:val="right"/>
            </w:pPr>
            <w:r>
              <w:t xml:space="preserve">10</w:t>
            </w:r>
          </w:p>
        </w:tc>
        <w:tc>
          <w:tcPr/>
          <w:p>
            <w:pPr>
              <w:pStyle w:val="Compact"/>
              <w:jc w:val="right"/>
            </w:pPr>
            <w:r>
              <w:t xml:space="preserve">6.75 (6.50)</w:t>
            </w:r>
          </w:p>
        </w:tc>
        <w:tc>
          <w:tcPr/>
          <w:p>
            <w:pPr>
              <w:pStyle w:val="Compact"/>
              <w:jc w:val="right"/>
            </w:pPr>
            <w:r>
              <w:t xml:space="preserve">0.49 (0.59)</w:t>
            </w:r>
          </w:p>
        </w:tc>
        <w:tc>
          <w:tcPr/>
          <w:p>
            <w:pPr>
              <w:pStyle w:val="Compact"/>
              <w:jc w:val="right"/>
            </w:pPr>
            <w:r>
              <w:t xml:space="preserve">59.1</w:t>
            </w:r>
          </w:p>
        </w:tc>
        <w:tc>
          <w:tcPr/>
          <w:p>
            <w:pPr>
              <w:pStyle w:val="Compact"/>
              <w:jc w:val="right"/>
            </w:pPr>
            <w:r>
              <w:t xml:space="preserve">0.94 (0.93)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CD Capacity development</w:t>
            </w:r>
          </w:p>
        </w:tc>
        <w:tc>
          <w:tcPr/>
          <w:p>
            <w:pPr>
              <w:pStyle w:val="Compact"/>
              <w:jc w:val="right"/>
            </w:pPr>
            <w:r>
              <w:t xml:space="preserve">5</w:t>
            </w:r>
          </w:p>
        </w:tc>
        <w:tc>
          <w:tcPr/>
          <w:p>
            <w:pPr>
              <w:pStyle w:val="Compact"/>
              <w:jc w:val="right"/>
            </w:pPr>
            <w:r>
              <w:t xml:space="preserve">6.70 (6.41)</w:t>
            </w:r>
          </w:p>
        </w:tc>
        <w:tc>
          <w:tcPr/>
          <w:p>
            <w:pPr>
              <w:pStyle w:val="Compact"/>
              <w:jc w:val="right"/>
            </w:pPr>
            <w:r>
              <w:t xml:space="preserve">0.65 (0.81)</w:t>
            </w:r>
          </w:p>
        </w:tc>
        <w:tc>
          <w:tcPr/>
          <w:p>
            <w:pPr>
              <w:pStyle w:val="Compact"/>
              <w:jc w:val="right"/>
            </w:pPr>
            <w:r>
              <w:t xml:space="preserve">66.3</w:t>
            </w:r>
          </w:p>
        </w:tc>
        <w:tc>
          <w:tcPr/>
          <w:p>
            <w:pPr>
              <w:pStyle w:val="Compact"/>
              <w:jc w:val="right"/>
            </w:pPr>
            <w:r>
              <w:t xml:space="preserve">0.93 (0.92)</w:t>
            </w:r>
          </w:p>
        </w:tc>
        <w:tc>
          <w:tcPr/>
          <w:p>
            <w:pPr>
              <w:pStyle w:val="Compact"/>
              <w:jc w:val="left"/>
            </w:pPr>
            <w:r>
              <w:t xml:space="preserve">0.87 (0.83)</w:t>
            </w:r>
          </w:p>
        </w:tc>
        <w:tc>
          <w:tcPr/>
          <w:p>
            <w:pPr>
              <w:pStyle w:val="Compact"/>
              <w:jc w:val="left"/>
            </w:pPr>
            <w:r>
              <w:t xml:space="preserve">—</w:t>
            </w:r>
          </w:p>
        </w:tc>
      </w:tr>
      <w:tr>
        <w:tc>
          <w:tcPr/>
          <w:p>
            <w:pPr>
              <w:pStyle w:val="Compact"/>
              <w:jc w:val="left"/>
            </w:pPr>
            <w:r>
              <w:t xml:space="preserve">IR Institutional resilience</w:t>
            </w:r>
          </w:p>
        </w:tc>
        <w:tc>
          <w:tcPr/>
          <w:p>
            <w:pPr>
              <w:pStyle w:val="Compact"/>
              <w:jc w:val="right"/>
            </w:pPr>
            <w:r>
              <w:t xml:space="preserve">5</w:t>
            </w:r>
          </w:p>
        </w:tc>
        <w:tc>
          <w:tcPr/>
          <w:p>
            <w:pPr>
              <w:pStyle w:val="Compact"/>
              <w:jc w:val="right"/>
            </w:pPr>
            <w:r>
              <w:t xml:space="preserve">6.66 (6.32)</w:t>
            </w:r>
          </w:p>
        </w:tc>
        <w:tc>
          <w:tcPr/>
          <w:p>
            <w:pPr>
              <w:pStyle w:val="Compact"/>
              <w:jc w:val="right"/>
            </w:pPr>
            <w:r>
              <w:t xml:space="preserve">0.70 (0.87)</w:t>
            </w:r>
          </w:p>
        </w:tc>
        <w:tc>
          <w:tcPr/>
          <w:p>
            <w:pPr>
              <w:pStyle w:val="Compact"/>
              <w:jc w:val="right"/>
            </w:pPr>
            <w:r>
              <w:t xml:space="preserve">61.5</w:t>
            </w:r>
          </w:p>
        </w:tc>
        <w:tc>
          <w:tcPr/>
          <w:p>
            <w:pPr>
              <w:pStyle w:val="Compact"/>
              <w:jc w:val="right"/>
            </w:pPr>
            <w:r>
              <w:t xml:space="preserve">0.93 (0.92)</w:t>
            </w:r>
          </w:p>
        </w:tc>
        <w:tc>
          <w:tcPr/>
          <w:p>
            <w:pPr>
              <w:pStyle w:val="Compact"/>
              <w:jc w:val="left"/>
            </w:pPr>
            <w:r>
              <w:t xml:space="preserve">0.84 (0.79)</w:t>
            </w:r>
          </w:p>
        </w:tc>
        <w:tc>
          <w:tcPr/>
          <w:p>
            <w:pPr>
              <w:pStyle w:val="Compact"/>
              <w:jc w:val="left"/>
            </w:pPr>
            <w:r>
              <w:t xml:space="preserve">0.91 (0.89)</w:t>
            </w:r>
          </w:p>
        </w:tc>
      </w:tr>
    </w:tbl>
    <w:p>
      <w:pPr>
        <w:pStyle w:val="BodyText"/>
      </w:pPr>
      <w:r>
        <w:t xml:space="preserve">Values are for the full sample (N = 416); values in parentheses exclude respondents who gave the same answer to all 20 items (n = 207). Scale scores are item means on a 1–7 scale. Correlations are Pearson’s r; all P &lt; 0.001.</w:t>
      </w:r>
    </w:p>
    <w:p>
      <w:pPr>
        <w:pStyle w:val="BodyText"/>
      </w:pPr>
      <w:r>
        <w:rPr>
          <w:bCs/>
          <w:b/>
        </w:rPr>
        <w:t xml:space="preserve">Table 3 | 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Model</w:t>
            </w:r>
          </w:p>
        </w:tc>
        <w:tc>
          <w:tcPr/>
          <w:p>
            <w:pPr>
              <w:pStyle w:val="Compact"/>
              <w:jc w:val="right"/>
            </w:pPr>
            <w:r>
              <w:t xml:space="preserve">χ²</w:t>
            </w:r>
          </w:p>
        </w:tc>
        <w:tc>
          <w:tcPr/>
          <w:p>
            <w:pPr>
              <w:pStyle w:val="Compact"/>
              <w:jc w:val="right"/>
            </w:pPr>
            <w:r>
              <w:t xml:space="preserve">d.f.</w:t>
            </w:r>
          </w:p>
        </w:tc>
        <w:tc>
          <w:tcPr/>
          <w:p>
            <w:pPr>
              <w:pStyle w:val="Compact"/>
              <w:jc w:val="right"/>
            </w:pPr>
            <w:r>
              <w:t xml:space="preserve">CFI</w:t>
            </w:r>
          </w:p>
        </w:tc>
        <w:tc>
          <w:tcPr/>
          <w:p>
            <w:pPr>
              <w:pStyle w:val="Compact"/>
              <w:jc w:val="right"/>
            </w:pPr>
            <w:r>
              <w:t xml:space="preserve">TLI</w:t>
            </w:r>
          </w:p>
        </w:tc>
        <w:tc>
          <w:tcPr/>
          <w:p>
            <w:pPr>
              <w:pStyle w:val="Compact"/>
              <w:jc w:val="right"/>
            </w:pPr>
            <w:r>
              <w:t xml:space="preserve">RMSEA [90% CI]</w:t>
            </w:r>
          </w:p>
        </w:tc>
        <w:tc>
          <w:tcPr/>
          <w:p>
            <w:pPr>
              <w:pStyle w:val="Compact"/>
              <w:jc w:val="right"/>
            </w:pPr>
            <w:r>
              <w:t xml:space="preserve">SRMR</w:t>
            </w:r>
          </w:p>
        </w:tc>
      </w:tr>
      <w:tr>
        <w:tc>
          <w:tcPr/>
          <w:p>
            <w:pPr>
              <w:pStyle w:val="Compact"/>
              <w:jc w:val="left"/>
            </w:pPr>
            <w:r>
              <w:t xml:space="preserve">Full sample (n = 416)</w:t>
            </w:r>
          </w:p>
        </w:tc>
        <w:tc>
          <w:tcPr/>
          <w:p>
            <w:pPr>
              <w:pStyle w:val="Compact"/>
              <w:jc w:val="left"/>
            </w:pPr>
            <w:r>
              <w:t xml:space="preserve">1-factor</w:t>
            </w:r>
          </w:p>
        </w:tc>
        <w:tc>
          <w:tcPr/>
          <w:p>
            <w:pPr>
              <w:pStyle w:val="Compact"/>
              <w:jc w:val="right"/>
            </w:pPr>
            <w:r>
              <w:t xml:space="preserve">481.6</w:t>
            </w:r>
          </w:p>
        </w:tc>
        <w:tc>
          <w:tcPr/>
          <w:p>
            <w:pPr>
              <w:pStyle w:val="Compact"/>
              <w:jc w:val="right"/>
            </w:pPr>
            <w:r>
              <w:t xml:space="preserve">170</w:t>
            </w:r>
          </w:p>
        </w:tc>
        <w:tc>
          <w:tcPr/>
          <w:p>
            <w:pPr>
              <w:pStyle w:val="Compact"/>
              <w:jc w:val="right"/>
            </w:pPr>
            <w:r>
              <w:t xml:space="preserve">0.989</w:t>
            </w:r>
          </w:p>
        </w:tc>
        <w:tc>
          <w:tcPr/>
          <w:p>
            <w:pPr>
              <w:pStyle w:val="Compact"/>
              <w:jc w:val="right"/>
            </w:pPr>
            <w:r>
              <w:t xml:space="preserve">0.987</w:t>
            </w:r>
          </w:p>
        </w:tc>
        <w:tc>
          <w:tcPr/>
          <w:p>
            <w:pPr>
              <w:pStyle w:val="Compact"/>
              <w:jc w:val="right"/>
            </w:pPr>
            <w:r>
              <w:t xml:space="preserve">0.066 [0.060, 0.073]</w:t>
            </w:r>
          </w:p>
        </w:tc>
        <w:tc>
          <w:tcPr/>
          <w:p>
            <w:pPr>
              <w:pStyle w:val="Compact"/>
              <w:jc w:val="right"/>
            </w:pPr>
            <w:r>
              <w:t xml:space="preserve">0.044</w:t>
            </w:r>
          </w:p>
        </w:tc>
      </w:tr>
      <w:tr>
        <w:tc>
          <w:tcPr/>
          <w:p>
            <w:pPr>
              <w:pStyle w:val="Compact"/>
              <w:jc w:val="left"/>
            </w:pPr>
            <w:r>
              <w:t xml:space="preserve">Full sample (n = 416)</w:t>
            </w:r>
          </w:p>
        </w:tc>
        <w:tc>
          <w:tcPr/>
          <w:p>
            <w:pPr>
              <w:pStyle w:val="Compact"/>
              <w:jc w:val="left"/>
            </w:pPr>
            <w:r>
              <w:t xml:space="preserve">2-factor (SP; CD+IR)</w:t>
            </w:r>
          </w:p>
        </w:tc>
        <w:tc>
          <w:tcPr/>
          <w:p>
            <w:pPr>
              <w:pStyle w:val="Compact"/>
              <w:jc w:val="right"/>
            </w:pPr>
            <w:r>
              <w:t xml:space="preserve">283.6</w:t>
            </w:r>
          </w:p>
        </w:tc>
        <w:tc>
          <w:tcPr/>
          <w:p>
            <w:pPr>
              <w:pStyle w:val="Compact"/>
              <w:jc w:val="right"/>
            </w:pPr>
            <w:r>
              <w:t xml:space="preserve">169</w:t>
            </w:r>
          </w:p>
        </w:tc>
        <w:tc>
          <w:tcPr/>
          <w:p>
            <w:pPr>
              <w:pStyle w:val="Compact"/>
              <w:jc w:val="right"/>
            </w:pPr>
            <w:r>
              <w:t xml:space="preserve">0.996</w:t>
            </w:r>
          </w:p>
        </w:tc>
        <w:tc>
          <w:tcPr/>
          <w:p>
            <w:pPr>
              <w:pStyle w:val="Compact"/>
              <w:jc w:val="right"/>
            </w:pPr>
            <w:r>
              <w:t xml:space="preserve">0.995</w:t>
            </w:r>
          </w:p>
        </w:tc>
        <w:tc>
          <w:tcPr/>
          <w:p>
            <w:pPr>
              <w:pStyle w:val="Compact"/>
              <w:jc w:val="right"/>
            </w:pPr>
            <w:r>
              <w:t xml:space="preserve">0.040 [0.032, 0.048]</w:t>
            </w:r>
          </w:p>
        </w:tc>
        <w:tc>
          <w:tcPr/>
          <w:p>
            <w:pPr>
              <w:pStyle w:val="Compact"/>
              <w:jc w:val="right"/>
            </w:pPr>
            <w:r>
              <w:t xml:space="preserve">0.030</w:t>
            </w:r>
          </w:p>
        </w:tc>
      </w:tr>
      <w:tr>
        <w:tc>
          <w:tcPr/>
          <w:p>
            <w:pPr>
              <w:pStyle w:val="Compact"/>
              <w:jc w:val="left"/>
            </w:pPr>
            <w:r>
              <w:t xml:space="preserve">Full sample (n = 416)</w:t>
            </w:r>
          </w:p>
        </w:tc>
        <w:tc>
          <w:tcPr/>
          <w:p>
            <w:pPr>
              <w:pStyle w:val="Compact"/>
              <w:jc w:val="left"/>
            </w:pPr>
            <w:r>
              <w:t xml:space="preserve">3-factor (SP; CD; IR)</w:t>
            </w:r>
          </w:p>
        </w:tc>
        <w:tc>
          <w:tcPr/>
          <w:p>
            <w:pPr>
              <w:pStyle w:val="Compact"/>
              <w:jc w:val="right"/>
            </w:pPr>
            <w:r>
              <w:t xml:space="preserve">274.4</w:t>
            </w:r>
          </w:p>
        </w:tc>
        <w:tc>
          <w:tcPr/>
          <w:p>
            <w:pPr>
              <w:pStyle w:val="Compact"/>
              <w:jc w:val="right"/>
            </w:pPr>
            <w:r>
              <w:t xml:space="preserve">167</w:t>
            </w:r>
          </w:p>
        </w:tc>
        <w:tc>
          <w:tcPr/>
          <w:p>
            <w:pPr>
              <w:pStyle w:val="Compact"/>
              <w:jc w:val="right"/>
            </w:pPr>
            <w:r>
              <w:t xml:space="preserve">0.996</w:t>
            </w:r>
          </w:p>
        </w:tc>
        <w:tc>
          <w:tcPr/>
          <w:p>
            <w:pPr>
              <w:pStyle w:val="Compact"/>
              <w:jc w:val="right"/>
            </w:pPr>
            <w:r>
              <w:t xml:space="preserve">0.996</w:t>
            </w:r>
          </w:p>
        </w:tc>
        <w:tc>
          <w:tcPr/>
          <w:p>
            <w:pPr>
              <w:pStyle w:val="Compact"/>
              <w:jc w:val="right"/>
            </w:pPr>
            <w:r>
              <w:t xml:space="preserve">0.039 [0.031, 0.048]</w:t>
            </w:r>
          </w:p>
        </w:tc>
        <w:tc>
          <w:tcPr/>
          <w:p>
            <w:pPr>
              <w:pStyle w:val="Compact"/>
              <w:jc w:val="right"/>
            </w:pPr>
            <w:r>
              <w:t xml:space="preserve">0.029</w:t>
            </w:r>
          </w:p>
        </w:tc>
      </w:tr>
      <w:tr>
        <w:tc>
          <w:tcPr/>
          <w:p>
            <w:pPr>
              <w:pStyle w:val="Compact"/>
              <w:jc w:val="left"/>
            </w:pPr>
            <w:r>
              <w:t xml:space="preserve">Excl. straight-liners (n = 207)</w:t>
            </w:r>
          </w:p>
        </w:tc>
        <w:tc>
          <w:tcPr/>
          <w:p>
            <w:pPr>
              <w:pStyle w:val="Compact"/>
              <w:jc w:val="left"/>
            </w:pPr>
            <w:r>
              <w:t xml:space="preserve">1-factor</w:t>
            </w:r>
          </w:p>
        </w:tc>
        <w:tc>
          <w:tcPr/>
          <w:p>
            <w:pPr>
              <w:pStyle w:val="Compact"/>
              <w:jc w:val="right"/>
            </w:pPr>
            <w:r>
              <w:t xml:space="preserve">508.3</w:t>
            </w:r>
          </w:p>
        </w:tc>
        <w:tc>
          <w:tcPr/>
          <w:p>
            <w:pPr>
              <w:pStyle w:val="Compact"/>
              <w:jc w:val="right"/>
            </w:pPr>
            <w:r>
              <w:t xml:space="preserve">170</w:t>
            </w:r>
          </w:p>
        </w:tc>
        <w:tc>
          <w:tcPr/>
          <w:p>
            <w:pPr>
              <w:pStyle w:val="Compact"/>
              <w:jc w:val="right"/>
            </w:pPr>
            <w:r>
              <w:t xml:space="preserve">0.966</w:t>
            </w:r>
          </w:p>
        </w:tc>
        <w:tc>
          <w:tcPr/>
          <w:p>
            <w:pPr>
              <w:pStyle w:val="Compact"/>
              <w:jc w:val="right"/>
            </w:pPr>
            <w:r>
              <w:t xml:space="preserve">0.962</w:t>
            </w:r>
          </w:p>
        </w:tc>
        <w:tc>
          <w:tcPr/>
          <w:p>
            <w:pPr>
              <w:pStyle w:val="Compact"/>
              <w:jc w:val="right"/>
            </w:pPr>
            <w:r>
              <w:t xml:space="preserve">0.098 [0.089, 0.108]</w:t>
            </w:r>
          </w:p>
        </w:tc>
        <w:tc>
          <w:tcPr/>
          <w:p>
            <w:pPr>
              <w:pStyle w:val="Compact"/>
              <w:jc w:val="right"/>
            </w:pPr>
            <w:r>
              <w:t xml:space="preserve">0.077</w:t>
            </w:r>
          </w:p>
        </w:tc>
      </w:tr>
      <w:tr>
        <w:tc>
          <w:tcPr/>
          <w:p>
            <w:pPr>
              <w:pStyle w:val="Compact"/>
              <w:jc w:val="left"/>
            </w:pPr>
            <w:r>
              <w:t xml:space="preserve">Excl. straight-liners (n = 207)</w:t>
            </w:r>
          </w:p>
        </w:tc>
        <w:tc>
          <w:tcPr/>
          <w:p>
            <w:pPr>
              <w:pStyle w:val="Compact"/>
              <w:jc w:val="left"/>
            </w:pPr>
            <w:r>
              <w:t xml:space="preserve">2-factor (SP; CD+IR)</w:t>
            </w:r>
          </w:p>
        </w:tc>
        <w:tc>
          <w:tcPr/>
          <w:p>
            <w:pPr>
              <w:pStyle w:val="Compact"/>
              <w:jc w:val="right"/>
            </w:pPr>
            <w:r>
              <w:t xml:space="preserve">292.6</w:t>
            </w:r>
          </w:p>
        </w:tc>
        <w:tc>
          <w:tcPr/>
          <w:p>
            <w:pPr>
              <w:pStyle w:val="Compact"/>
              <w:jc w:val="right"/>
            </w:pPr>
            <w:r>
              <w:t xml:space="preserve">169</w:t>
            </w:r>
          </w:p>
        </w:tc>
        <w:tc>
          <w:tcPr/>
          <w:p>
            <w:pPr>
              <w:pStyle w:val="Compact"/>
              <w:jc w:val="right"/>
            </w:pPr>
            <w:r>
              <w:t xml:space="preserve">0.988</w:t>
            </w:r>
          </w:p>
        </w:tc>
        <w:tc>
          <w:tcPr/>
          <w:p>
            <w:pPr>
              <w:pStyle w:val="Compact"/>
              <w:jc w:val="right"/>
            </w:pPr>
            <w:r>
              <w:t xml:space="preserve">0.986</w:t>
            </w:r>
          </w:p>
        </w:tc>
        <w:tc>
          <w:tcPr/>
          <w:p>
            <w:pPr>
              <w:pStyle w:val="Compact"/>
              <w:jc w:val="right"/>
            </w:pPr>
            <w:r>
              <w:t xml:space="preserve">0.060 [0.048, 0.071]</w:t>
            </w:r>
          </w:p>
        </w:tc>
        <w:tc>
          <w:tcPr/>
          <w:p>
            <w:pPr>
              <w:pStyle w:val="Compact"/>
              <w:jc w:val="right"/>
            </w:pPr>
            <w:r>
              <w:t xml:space="preserve">0.053</w:t>
            </w:r>
          </w:p>
        </w:tc>
      </w:tr>
      <w:tr>
        <w:tc>
          <w:tcPr/>
          <w:p>
            <w:pPr>
              <w:pStyle w:val="Compact"/>
              <w:jc w:val="left"/>
            </w:pPr>
            <w:r>
              <w:t xml:space="preserve">Excl. straight-liners (n = 207)</w:t>
            </w:r>
          </w:p>
        </w:tc>
        <w:tc>
          <w:tcPr/>
          <w:p>
            <w:pPr>
              <w:pStyle w:val="Compact"/>
              <w:jc w:val="left"/>
            </w:pPr>
            <w:r>
              <w:t xml:space="preserve">3-factor (SP; CD; IR)</w:t>
            </w:r>
          </w:p>
        </w:tc>
        <w:tc>
          <w:tcPr/>
          <w:p>
            <w:pPr>
              <w:pStyle w:val="Compact"/>
              <w:jc w:val="right"/>
            </w:pPr>
            <w:r>
              <w:t xml:space="preserve">282.2</w:t>
            </w:r>
          </w:p>
        </w:tc>
        <w:tc>
          <w:tcPr/>
          <w:p>
            <w:pPr>
              <w:pStyle w:val="Compact"/>
              <w:jc w:val="right"/>
            </w:pPr>
            <w:r>
              <w:t xml:space="preserve">167</w:t>
            </w:r>
          </w:p>
        </w:tc>
        <w:tc>
          <w:tcPr/>
          <w:p>
            <w:pPr>
              <w:pStyle w:val="Compact"/>
              <w:jc w:val="right"/>
            </w:pPr>
            <w:r>
              <w:t xml:space="preserve">0.988</w:t>
            </w:r>
          </w:p>
        </w:tc>
        <w:tc>
          <w:tcPr/>
          <w:p>
            <w:pPr>
              <w:pStyle w:val="Compact"/>
              <w:jc w:val="right"/>
            </w:pPr>
            <w:r>
              <w:t xml:space="preserve">0.987</w:t>
            </w:r>
          </w:p>
        </w:tc>
        <w:tc>
          <w:tcPr/>
          <w:p>
            <w:pPr>
              <w:pStyle w:val="Compact"/>
              <w:jc w:val="right"/>
            </w:pPr>
            <w:r>
              <w:t xml:space="preserve">0.058 [0.046, 0.069]</w:t>
            </w:r>
          </w:p>
        </w:tc>
        <w:tc>
          <w:tcPr/>
          <w:p>
            <w:pPr>
              <w:pStyle w:val="Compact"/>
              <w:jc w:val="right"/>
            </w:pPr>
            <w: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Sample</w:t>
            </w:r>
          </w:p>
        </w:tc>
        <w:tc>
          <w:tcPr/>
          <w:p>
            <w:pPr>
              <w:pStyle w:val="Compact"/>
              <w:jc w:val="left"/>
            </w:pPr>
            <w:r>
              <w:t xml:space="preserve">Construct / pair</w:t>
            </w:r>
          </w:p>
        </w:tc>
        <w:tc>
          <w:tcPr/>
          <w:p>
            <w:pPr>
              <w:pStyle w:val="Compact"/>
              <w:jc w:val="right"/>
            </w:pPr>
            <w:r>
              <w:t xml:space="preserve">CR</w:t>
            </w:r>
          </w:p>
        </w:tc>
        <w:tc>
          <w:tcPr/>
          <w:p>
            <w:pPr>
              <w:pStyle w:val="Compact"/>
              <w:jc w:val="right"/>
            </w:pPr>
            <w:r>
              <w:t xml:space="preserve">AVE</w:t>
            </w:r>
          </w:p>
        </w:tc>
        <w:tc>
          <w:tcPr/>
          <w:p>
            <w:pPr>
              <w:pStyle w:val="Compact"/>
              <w:jc w:val="right"/>
            </w:pPr>
            <w:r>
              <w:t xml:space="preserve">Latent r</w:t>
            </w:r>
          </w:p>
        </w:tc>
        <w:tc>
          <w:tcPr/>
          <w:p>
            <w:pPr>
              <w:pStyle w:val="Compact"/>
              <w:jc w:val="right"/>
            </w:pPr>
            <w:r>
              <w:t xml:space="preserve">95% CI</w:t>
            </w:r>
          </w:p>
        </w:tc>
        <w:tc>
          <w:tcPr/>
          <w:p>
            <w:pPr>
              <w:pStyle w:val="Compact"/>
              <w:jc w:val="right"/>
            </w:pPr>
            <w:r>
              <w:t xml:space="preserve">HTMT</w:t>
            </w:r>
          </w:p>
        </w:tc>
      </w:tr>
      <w:tr>
        <w:tc>
          <w:tcPr/>
          <w:p>
            <w:pPr>
              <w:pStyle w:val="Compact"/>
              <w:jc w:val="left"/>
            </w:pPr>
            <w:r>
              <w:t xml:space="preserve">Full</w:t>
            </w:r>
          </w:p>
        </w:tc>
        <w:tc>
          <w:tcPr/>
          <w:p>
            <w:pPr>
              <w:pStyle w:val="Compact"/>
              <w:jc w:val="left"/>
            </w:pPr>
            <w:r>
              <w:t xml:space="preserve">SP</w:t>
            </w:r>
          </w:p>
        </w:tc>
        <w:tc>
          <w:tcPr/>
          <w:p>
            <w:pPr>
              <w:pStyle w:val="Compact"/>
              <w:jc w:val="right"/>
            </w:pPr>
            <w:r>
              <w:t xml:space="preserve">0.96</w:t>
            </w:r>
          </w:p>
        </w:tc>
        <w:tc>
          <w:tcPr/>
          <w:p>
            <w:pPr>
              <w:pStyle w:val="Compact"/>
              <w:jc w:val="right"/>
            </w:pPr>
            <w:r>
              <w:t xml:space="preserve">0.84</w:t>
            </w:r>
          </w:p>
        </w:tc>
        <w:tc>
          <w:tcPr/>
          <w:p>
            <w:pPr>
              <w:pStyle w:val="Compact"/>
            </w:pPr>
          </w:p>
        </w:tc>
        <w:tc>
          <w:tcPr/>
          <w:p>
            <w:pPr>
              <w:pStyle w:val="Compact"/>
            </w:pPr>
          </w:p>
        </w:tc>
        <w:tc>
          <w:tcPr/>
          <w:p>
            <w:pPr>
              <w:pStyle w:val="Compact"/>
            </w:pPr>
          </w:p>
        </w:tc>
      </w:tr>
      <w:tr>
        <w:tc>
          <w:tcPr/>
          <w:p>
            <w:pPr>
              <w:pStyle w:val="Compact"/>
              <w:jc w:val="left"/>
            </w:pPr>
            <w:r>
              <w:t xml:space="preserve">Full</w:t>
            </w:r>
          </w:p>
        </w:tc>
        <w:tc>
          <w:tcPr/>
          <w:p>
            <w:pPr>
              <w:pStyle w:val="Compact"/>
              <w:jc w:val="left"/>
            </w:pPr>
            <w:r>
              <w:t xml:space="preserve">CD</w:t>
            </w:r>
          </w:p>
        </w:tc>
        <w:tc>
          <w:tcPr/>
          <w:p>
            <w:pPr>
              <w:pStyle w:val="Compact"/>
              <w:jc w:val="right"/>
            </w:pPr>
            <w:r>
              <w:t xml:space="preserve">0.96</w:t>
            </w:r>
          </w:p>
        </w:tc>
        <w:tc>
          <w:tcPr/>
          <w:p>
            <w:pPr>
              <w:pStyle w:val="Compact"/>
              <w:jc w:val="right"/>
            </w:pPr>
            <w:r>
              <w:t xml:space="preserve">0.90</w:t>
            </w:r>
          </w:p>
        </w:tc>
        <w:tc>
          <w:tcPr/>
          <w:p>
            <w:pPr>
              <w:pStyle w:val="Compact"/>
            </w:pPr>
          </w:p>
        </w:tc>
        <w:tc>
          <w:tcPr/>
          <w:p>
            <w:pPr>
              <w:pStyle w:val="Compact"/>
            </w:pPr>
          </w:p>
        </w:tc>
        <w:tc>
          <w:tcPr/>
          <w:p>
            <w:pPr>
              <w:pStyle w:val="Compact"/>
            </w:pPr>
          </w:p>
        </w:tc>
      </w:tr>
      <w:tr>
        <w:tc>
          <w:tcPr/>
          <w:p>
            <w:pPr>
              <w:pStyle w:val="Compact"/>
              <w:jc w:val="left"/>
            </w:pPr>
            <w:r>
              <w:t xml:space="preserve">Full</w:t>
            </w:r>
          </w:p>
        </w:tc>
        <w:tc>
          <w:tcPr/>
          <w:p>
            <w:pPr>
              <w:pStyle w:val="Compact"/>
              <w:jc w:val="left"/>
            </w:pPr>
            <w:r>
              <w:t xml:space="preserve">IR</w:t>
            </w:r>
          </w:p>
        </w:tc>
        <w:tc>
          <w:tcPr/>
          <w:p>
            <w:pPr>
              <w:pStyle w:val="Compact"/>
              <w:jc w:val="right"/>
            </w:pPr>
            <w:r>
              <w:t xml:space="preserve">0.94</w:t>
            </w:r>
          </w:p>
        </w:tc>
        <w:tc>
          <w:tcPr/>
          <w:p>
            <w:pPr>
              <w:pStyle w:val="Compact"/>
              <w:jc w:val="right"/>
            </w:pPr>
            <w:r>
              <w:t xml:space="preserve">0.86</w:t>
            </w:r>
          </w:p>
        </w:tc>
        <w:tc>
          <w:tcPr/>
          <w:p>
            <w:pPr>
              <w:pStyle w:val="Compact"/>
            </w:pPr>
          </w:p>
        </w:tc>
        <w:tc>
          <w:tcPr/>
          <w:p>
            <w:pPr>
              <w:pStyle w:val="Compact"/>
            </w:pPr>
          </w:p>
        </w:tc>
        <w:tc>
          <w:tcPr/>
          <w:p>
            <w:pPr>
              <w:pStyle w:val="Compact"/>
            </w:pPr>
          </w:p>
        </w:tc>
      </w:tr>
      <w:tr>
        <w:tc>
          <w:tcPr/>
          <w:p>
            <w:pPr>
              <w:pStyle w:val="Compact"/>
              <w:jc w:val="left"/>
            </w:pPr>
            <w:r>
              <w:t xml:space="preserve">Full</w:t>
            </w:r>
          </w:p>
        </w:tc>
        <w:tc>
          <w:tcPr/>
          <w:p>
            <w:pPr>
              <w:pStyle w:val="Compact"/>
              <w:jc w:val="left"/>
            </w:pPr>
            <w:r>
              <w:t xml:space="preserve">SP–CD</w:t>
            </w:r>
          </w:p>
        </w:tc>
        <w:tc>
          <w:tcPr/>
          <w:p>
            <w:pPr>
              <w:pStyle w:val="Compact"/>
            </w:pPr>
          </w:p>
        </w:tc>
        <w:tc>
          <w:tcPr/>
          <w:p>
            <w:pPr>
              <w:pStyle w:val="Compact"/>
            </w:pPr>
          </w:p>
        </w:tc>
        <w:tc>
          <w:tcPr/>
          <w:p>
            <w:pPr>
              <w:pStyle w:val="Compact"/>
              <w:jc w:val="right"/>
            </w:pPr>
            <w:r>
              <w:t xml:space="preserve">0.92</w:t>
            </w:r>
          </w:p>
        </w:tc>
        <w:tc>
          <w:tcPr/>
          <w:p>
            <w:pPr>
              <w:pStyle w:val="Compact"/>
              <w:jc w:val="right"/>
            </w:pPr>
            <w:r>
              <w:t xml:space="preserve">[0.90, 0.95]</w:t>
            </w:r>
          </w:p>
        </w:tc>
        <w:tc>
          <w:tcPr/>
          <w:p>
            <w:pPr>
              <w:pStyle w:val="Compact"/>
              <w:jc w:val="right"/>
            </w:pPr>
            <w:r>
              <w:t xml:space="preserve">0.93</w:t>
            </w:r>
          </w:p>
        </w:tc>
      </w:tr>
      <w:tr>
        <w:tc>
          <w:tcPr/>
          <w:p>
            <w:pPr>
              <w:pStyle w:val="Compact"/>
              <w:jc w:val="left"/>
            </w:pPr>
            <w:r>
              <w:t xml:space="preserve">Full</w:t>
            </w:r>
          </w:p>
        </w:tc>
        <w:tc>
          <w:tcPr/>
          <w:p>
            <w:pPr>
              <w:pStyle w:val="Compact"/>
              <w:jc w:val="left"/>
            </w:pPr>
            <w:r>
              <w:t xml:space="preserve">SP–IR</w:t>
            </w:r>
          </w:p>
        </w:tc>
        <w:tc>
          <w:tcPr/>
          <w:p>
            <w:pPr>
              <w:pStyle w:val="Compact"/>
            </w:pPr>
          </w:p>
        </w:tc>
        <w:tc>
          <w:tcPr/>
          <w:p>
            <w:pPr>
              <w:pStyle w:val="Compact"/>
            </w:pPr>
          </w:p>
        </w:tc>
        <w:tc>
          <w:tcPr/>
          <w:p>
            <w:pPr>
              <w:pStyle w:val="Compact"/>
              <w:jc w:val="right"/>
            </w:pPr>
            <w:r>
              <w:t xml:space="preserve">0.91</w:t>
            </w:r>
          </w:p>
        </w:tc>
        <w:tc>
          <w:tcPr/>
          <w:p>
            <w:pPr>
              <w:pStyle w:val="Compact"/>
              <w:jc w:val="right"/>
            </w:pPr>
            <w:r>
              <w:t xml:space="preserve">[0.87, 0.94]</w:t>
            </w:r>
          </w:p>
        </w:tc>
        <w:tc>
          <w:tcPr/>
          <w:p>
            <w:pPr>
              <w:pStyle w:val="Compact"/>
              <w:jc w:val="right"/>
            </w:pPr>
            <w:r>
              <w:t xml:space="preserve">0.91</w:t>
            </w:r>
          </w:p>
        </w:tc>
      </w:tr>
      <w:tr>
        <w:tc>
          <w:tcPr/>
          <w:p>
            <w:pPr>
              <w:pStyle w:val="Compact"/>
              <w:jc w:val="left"/>
            </w:pPr>
            <w:r>
              <w:t xml:space="preserve">Full</w:t>
            </w:r>
          </w:p>
        </w:tc>
        <w:tc>
          <w:tcPr/>
          <w:p>
            <w:pPr>
              <w:pStyle w:val="Compact"/>
              <w:jc w:val="left"/>
            </w:pPr>
            <w:r>
              <w:t xml:space="preserve">CD–IR</w:t>
            </w:r>
          </w:p>
        </w:tc>
        <w:tc>
          <w:tcPr/>
          <w:p>
            <w:pPr>
              <w:pStyle w:val="Compact"/>
            </w:pPr>
          </w:p>
        </w:tc>
        <w:tc>
          <w:tcPr/>
          <w:p>
            <w:pPr>
              <w:pStyle w:val="Compact"/>
            </w:pPr>
          </w:p>
        </w:tc>
        <w:tc>
          <w:tcPr/>
          <w:p>
            <w:pPr>
              <w:pStyle w:val="Compact"/>
              <w:jc w:val="right"/>
            </w:pPr>
            <w:r>
              <w:t xml:space="preserve">0.97</w:t>
            </w:r>
          </w:p>
        </w:tc>
        <w:tc>
          <w:tcPr/>
          <w:p>
            <w:pPr>
              <w:pStyle w:val="Compact"/>
              <w:jc w:val="right"/>
            </w:pPr>
            <w:r>
              <w:t xml:space="preserve">[0.96, 0.99]</w:t>
            </w:r>
          </w:p>
        </w:tc>
        <w:tc>
          <w:tcPr/>
          <w:p>
            <w:pPr>
              <w:pStyle w:val="Compact"/>
              <w:jc w:val="right"/>
            </w:pPr>
            <w:r>
              <w:t xml:space="preserve">0.98</w:t>
            </w:r>
          </w:p>
        </w:tc>
      </w:tr>
      <w:tr>
        <w:tc>
          <w:tcPr/>
          <w:p>
            <w:pPr>
              <w:pStyle w:val="Compact"/>
              <w:jc w:val="left"/>
            </w:pPr>
            <w:r>
              <w:t xml:space="preserve">Excl. straight-liners</w:t>
            </w:r>
          </w:p>
        </w:tc>
        <w:tc>
          <w:tcPr/>
          <w:p>
            <w:pPr>
              <w:pStyle w:val="Compact"/>
              <w:jc w:val="left"/>
            </w:pPr>
            <w:r>
              <w:t xml:space="preserve">SP</w:t>
            </w:r>
          </w:p>
        </w:tc>
        <w:tc>
          <w:tcPr/>
          <w:p>
            <w:pPr>
              <w:pStyle w:val="Compact"/>
              <w:jc w:val="right"/>
            </w:pPr>
            <w:r>
              <w:t xml:space="preserve">0.93</w:t>
            </w:r>
          </w:p>
        </w:tc>
        <w:tc>
          <w:tcPr/>
          <w:p>
            <w:pPr>
              <w:pStyle w:val="Compact"/>
              <w:jc w:val="right"/>
            </w:pPr>
            <w:r>
              <w:t xml:space="preserve">0.71</w:t>
            </w:r>
          </w:p>
        </w:tc>
        <w:tc>
          <w:tcPr/>
          <w:p>
            <w:pPr>
              <w:pStyle w:val="Compact"/>
            </w:pPr>
          </w:p>
        </w:tc>
        <w:tc>
          <w:tcPr/>
          <w:p>
            <w:pPr>
              <w:pStyle w:val="Compact"/>
            </w:pPr>
          </w:p>
        </w:tc>
        <w:tc>
          <w:tcPr/>
          <w:p>
            <w:pPr>
              <w:pStyle w:val="Compact"/>
            </w:pPr>
          </w:p>
        </w:tc>
      </w:tr>
      <w:tr>
        <w:tc>
          <w:tcPr/>
          <w:p>
            <w:pPr>
              <w:pStyle w:val="Compact"/>
              <w:jc w:val="left"/>
            </w:pPr>
            <w:r>
              <w:t xml:space="preserve">Excl. straight-liners</w:t>
            </w:r>
          </w:p>
        </w:tc>
        <w:tc>
          <w:tcPr/>
          <w:p>
            <w:pPr>
              <w:pStyle w:val="Compact"/>
              <w:jc w:val="left"/>
            </w:pPr>
            <w:r>
              <w:t xml:space="preserve">CD</w:t>
            </w:r>
          </w:p>
        </w:tc>
        <w:tc>
          <w:tcPr/>
          <w:p>
            <w:pPr>
              <w:pStyle w:val="Compact"/>
              <w:jc w:val="right"/>
            </w:pPr>
            <w:r>
              <w:t xml:space="preserve">0.95</w:t>
            </w:r>
          </w:p>
        </w:tc>
        <w:tc>
          <w:tcPr/>
          <w:p>
            <w:pPr>
              <w:pStyle w:val="Compact"/>
              <w:jc w:val="right"/>
            </w:pPr>
            <w:r>
              <w:t xml:space="preserve">0.82</w:t>
            </w:r>
          </w:p>
        </w:tc>
        <w:tc>
          <w:tcPr/>
          <w:p>
            <w:pPr>
              <w:pStyle w:val="Compact"/>
            </w:pPr>
          </w:p>
        </w:tc>
        <w:tc>
          <w:tcPr/>
          <w:p>
            <w:pPr>
              <w:pStyle w:val="Compact"/>
            </w:pPr>
          </w:p>
        </w:tc>
        <w:tc>
          <w:tcPr/>
          <w:p>
            <w:pPr>
              <w:pStyle w:val="Compact"/>
            </w:pPr>
          </w:p>
        </w:tc>
      </w:tr>
      <w:tr>
        <w:tc>
          <w:tcPr/>
          <w:p>
            <w:pPr>
              <w:pStyle w:val="Compact"/>
              <w:jc w:val="left"/>
            </w:pPr>
            <w:r>
              <w:t xml:space="preserve">Excl. straight-liners</w:t>
            </w:r>
          </w:p>
        </w:tc>
        <w:tc>
          <w:tcPr/>
          <w:p>
            <w:pPr>
              <w:pStyle w:val="Compact"/>
              <w:jc w:val="left"/>
            </w:pPr>
            <w:r>
              <w:t xml:space="preserve">IR</w:t>
            </w:r>
          </w:p>
        </w:tc>
        <w:tc>
          <w:tcPr/>
          <w:p>
            <w:pPr>
              <w:pStyle w:val="Compact"/>
              <w:jc w:val="right"/>
            </w:pPr>
            <w:r>
              <w:t xml:space="preserve">0.91</w:t>
            </w:r>
          </w:p>
        </w:tc>
        <w:tc>
          <w:tcPr/>
          <w:p>
            <w:pPr>
              <w:pStyle w:val="Compact"/>
              <w:jc w:val="right"/>
            </w:pPr>
            <w:r>
              <w:t xml:space="preserve">0.75</w:t>
            </w:r>
          </w:p>
        </w:tc>
        <w:tc>
          <w:tcPr/>
          <w:p>
            <w:pPr>
              <w:pStyle w:val="Compact"/>
            </w:pPr>
          </w:p>
        </w:tc>
        <w:tc>
          <w:tcPr/>
          <w:p>
            <w:pPr>
              <w:pStyle w:val="Compact"/>
            </w:pPr>
          </w:p>
        </w:tc>
        <w:tc>
          <w:tcPr/>
          <w:p>
            <w:pPr>
              <w:pStyle w:val="Compact"/>
            </w:pPr>
          </w:p>
        </w:tc>
      </w:tr>
      <w:tr>
        <w:tc>
          <w:tcPr/>
          <w:p>
            <w:pPr>
              <w:pStyle w:val="Compact"/>
              <w:jc w:val="left"/>
            </w:pPr>
            <w:r>
              <w:t xml:space="preserve">Excl. straight-liners</w:t>
            </w:r>
          </w:p>
        </w:tc>
        <w:tc>
          <w:tcPr/>
          <w:p>
            <w:pPr>
              <w:pStyle w:val="Compact"/>
              <w:jc w:val="left"/>
            </w:pPr>
            <w:r>
              <w:t xml:space="preserve">SP–CD</w:t>
            </w:r>
          </w:p>
        </w:tc>
        <w:tc>
          <w:tcPr/>
          <w:p>
            <w:pPr>
              <w:pStyle w:val="Compact"/>
            </w:pPr>
          </w:p>
        </w:tc>
        <w:tc>
          <w:tcPr/>
          <w:p>
            <w:pPr>
              <w:pStyle w:val="Compact"/>
            </w:pPr>
          </w:p>
        </w:tc>
        <w:tc>
          <w:tcPr/>
          <w:p>
            <w:pPr>
              <w:pStyle w:val="Compact"/>
              <w:jc w:val="right"/>
            </w:pPr>
            <w:r>
              <w:t xml:space="preserve">0.85</w:t>
            </w:r>
          </w:p>
        </w:tc>
        <w:tc>
          <w:tcPr/>
          <w:p>
            <w:pPr>
              <w:pStyle w:val="Compact"/>
              <w:jc w:val="right"/>
            </w:pPr>
            <w:r>
              <w:t xml:space="preserve">[0.80, 0.89]</w:t>
            </w:r>
          </w:p>
        </w:tc>
        <w:tc>
          <w:tcPr/>
          <w:p>
            <w:pPr>
              <w:pStyle w:val="Compact"/>
              <w:jc w:val="right"/>
            </w:pPr>
            <w:r>
              <w:t xml:space="preserve">0.86</w:t>
            </w:r>
          </w:p>
        </w:tc>
      </w:tr>
      <w:tr>
        <w:tc>
          <w:tcPr/>
          <w:p>
            <w:pPr>
              <w:pStyle w:val="Compact"/>
              <w:jc w:val="left"/>
            </w:pPr>
            <w:r>
              <w:t xml:space="preserve">Excl. straight-liners</w:t>
            </w:r>
          </w:p>
        </w:tc>
        <w:tc>
          <w:tcPr/>
          <w:p>
            <w:pPr>
              <w:pStyle w:val="Compact"/>
              <w:jc w:val="left"/>
            </w:pPr>
            <w:r>
              <w:t xml:space="preserve">SP–IR</w:t>
            </w:r>
          </w:p>
        </w:tc>
        <w:tc>
          <w:tcPr/>
          <w:p>
            <w:pPr>
              <w:pStyle w:val="Compact"/>
            </w:pPr>
          </w:p>
        </w:tc>
        <w:tc>
          <w:tcPr/>
          <w:p>
            <w:pPr>
              <w:pStyle w:val="Compact"/>
            </w:pPr>
          </w:p>
        </w:tc>
        <w:tc>
          <w:tcPr/>
          <w:p>
            <w:pPr>
              <w:pStyle w:val="Compact"/>
              <w:jc w:val="right"/>
            </w:pPr>
            <w:r>
              <w:t xml:space="preserve">0.81</w:t>
            </w:r>
          </w:p>
        </w:tc>
        <w:tc>
          <w:tcPr/>
          <w:p>
            <w:pPr>
              <w:pStyle w:val="Compact"/>
              <w:jc w:val="right"/>
            </w:pPr>
            <w:r>
              <w:t xml:space="preserve">[0.75, 0.87]</w:t>
            </w:r>
          </w:p>
        </w:tc>
        <w:tc>
          <w:tcPr/>
          <w:p>
            <w:pPr>
              <w:pStyle w:val="Compact"/>
              <w:jc w:val="right"/>
            </w:pPr>
            <w:r>
              <w:t xml:space="preserve">0.81</w:t>
            </w:r>
          </w:p>
        </w:tc>
      </w:tr>
      <w:tr>
        <w:tc>
          <w:tcPr/>
          <w:p>
            <w:pPr>
              <w:pStyle w:val="Compact"/>
              <w:jc w:val="left"/>
            </w:pPr>
            <w:r>
              <w:t xml:space="preserve">Excl. straight-liners</w:t>
            </w:r>
          </w:p>
        </w:tc>
        <w:tc>
          <w:tcPr/>
          <w:p>
            <w:pPr>
              <w:pStyle w:val="Compact"/>
              <w:jc w:val="left"/>
            </w:pPr>
            <w:r>
              <w:t xml:space="preserve">CD–IR</w:t>
            </w:r>
          </w:p>
        </w:tc>
        <w:tc>
          <w:tcPr/>
          <w:p>
            <w:pPr>
              <w:pStyle w:val="Compact"/>
            </w:pPr>
          </w:p>
        </w:tc>
        <w:tc>
          <w:tcPr/>
          <w:p>
            <w:pPr>
              <w:pStyle w:val="Compact"/>
            </w:pPr>
          </w:p>
        </w:tc>
        <w:tc>
          <w:tcPr/>
          <w:p>
            <w:pPr>
              <w:pStyle w:val="Compact"/>
              <w:jc w:val="right"/>
            </w:pPr>
            <w:r>
              <w:t xml:space="preserve">0.94</w:t>
            </w:r>
          </w:p>
        </w:tc>
        <w:tc>
          <w:tcPr/>
          <w:p>
            <w:pPr>
              <w:pStyle w:val="Compact"/>
              <w:jc w:val="right"/>
            </w:pPr>
            <w:r>
              <w:t xml:space="preserve">[0.91, 0.98]</w:t>
            </w:r>
          </w:p>
        </w:tc>
        <w:tc>
          <w:tcPr/>
          <w:p>
            <w:pPr>
              <w:pStyle w:val="Compact"/>
              <w:jc w:val="right"/>
            </w:pPr>
            <w: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CR, composite reliability; AVE, average variance extracted; HTMT, heterotrait–monotrait ratio (polychoric).</w:t>
      </w:r>
    </w:p>
    <w:p>
      <w:pPr>
        <w:pStyle w:val="BodyText"/>
      </w:pPr>
      <w:r>
        <w:rPr>
          <w:bCs/>
          <w:b/>
        </w:rPr>
        <w:t xml:space="preserve">Table 4 | Mediation of the strategic planning–resilience association by capacity development</w:t>
      </w:r>
    </w:p>
    <w:p>
      <w:pPr>
        <w:pStyle w:val="BodyText"/>
      </w:pPr>
      <w:r>
        <w:rPr>
          <w:iCs/>
          <w:i/>
        </w:rPr>
        <w:t xml:space="preserve">a, Latent structural equation model (standardised WLSMV estimates)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Path</w:t>
            </w:r>
          </w:p>
        </w:tc>
        <w:tc>
          <w:tcPr/>
          <w:p>
            <w:pPr>
              <w:pStyle w:val="Compact"/>
              <w:jc w:val="right"/>
            </w:pPr>
            <w:r>
              <w:t xml:space="preserve">Full sample (n = 416)</w:t>
            </w:r>
          </w:p>
        </w:tc>
        <w:tc>
          <w:tcPr/>
          <w:p>
            <w:pPr>
              <w:pStyle w:val="Compact"/>
              <w:jc w:val="right"/>
            </w:pPr>
            <w:r>
              <w:t xml:space="preserve">Screened only (n = 342)</w:t>
            </w:r>
          </w:p>
        </w:tc>
        <w:tc>
          <w:tcPr/>
          <w:p>
            <w:pPr>
              <w:pStyle w:val="Compact"/>
              <w:jc w:val="right"/>
            </w:pPr>
            <w:r>
              <w:t xml:space="preserve">Excluding straight-liners (n = 207)</w:t>
            </w:r>
          </w:p>
        </w:tc>
      </w:tr>
      <w:tr>
        <w:tc>
          <w:tcPr/>
          <w:p>
            <w:pPr>
              <w:pStyle w:val="Compact"/>
              <w:jc w:val="left"/>
            </w:pPr>
            <w:r>
              <w:t xml:space="preserve">a: SP → CD</w:t>
            </w:r>
          </w:p>
        </w:tc>
        <w:tc>
          <w:tcPr/>
          <w:p>
            <w:pPr>
              <w:pStyle w:val="Compact"/>
              <w:jc w:val="right"/>
            </w:pPr>
            <w:r>
              <w:t xml:space="preserve">0.92 (P &lt; 0.001)</w:t>
            </w:r>
          </w:p>
        </w:tc>
        <w:tc>
          <w:tcPr/>
          <w:p>
            <w:pPr>
              <w:pStyle w:val="Compact"/>
              <w:jc w:val="right"/>
            </w:pPr>
            <w:r>
              <w:t xml:space="preserve">0.92 (P &lt; 0.001)</w:t>
            </w:r>
          </w:p>
        </w:tc>
        <w:tc>
          <w:tcPr/>
          <w:p>
            <w:pPr>
              <w:pStyle w:val="Compact"/>
              <w:jc w:val="right"/>
            </w:pPr>
            <w:r>
              <w:t xml:space="preserve">0.85 (P &lt; 0.001)</w:t>
            </w:r>
          </w:p>
        </w:tc>
      </w:tr>
      <w:tr>
        <w:tc>
          <w:tcPr/>
          <w:p>
            <w:pPr>
              <w:pStyle w:val="Compact"/>
              <w:jc w:val="left"/>
            </w:pPr>
            <w:r>
              <w:t xml:space="preserve">b: CD → IR (SP held constant)</w:t>
            </w:r>
          </w:p>
        </w:tc>
        <w:tc>
          <w:tcPr/>
          <w:p>
            <w:pPr>
              <w:pStyle w:val="Compact"/>
              <w:jc w:val="right"/>
            </w:pPr>
            <w:r>
              <w:t xml:space="preserve">0.92 (P &lt; 0.001)</w:t>
            </w:r>
          </w:p>
        </w:tc>
        <w:tc>
          <w:tcPr/>
          <w:p>
            <w:pPr>
              <w:pStyle w:val="Compact"/>
              <w:jc w:val="right"/>
            </w:pPr>
            <w:r>
              <w:t xml:space="preserve">0.89 (P &lt; 0.001)</w:t>
            </w:r>
          </w:p>
        </w:tc>
        <w:tc>
          <w:tcPr/>
          <w:p>
            <w:pPr>
              <w:pStyle w:val="Compact"/>
              <w:jc w:val="right"/>
            </w:pPr>
            <w:r>
              <w:t xml:space="preserve">0.90 (P &lt; 0.001)</w:t>
            </w:r>
          </w:p>
        </w:tc>
      </w:tr>
      <w:tr>
        <w:tc>
          <w:tcPr/>
          <w:p>
            <w:pPr>
              <w:pStyle w:val="Compact"/>
              <w:jc w:val="left"/>
            </w:pPr>
            <w:r>
              <w:t xml:space="preserve">c′: SP → IR (CD held constant)</w:t>
            </w:r>
          </w:p>
        </w:tc>
        <w:tc>
          <w:tcPr/>
          <w:p>
            <w:pPr>
              <w:pStyle w:val="Compact"/>
              <w:jc w:val="right"/>
            </w:pPr>
            <w:r>
              <w:t xml:space="preserve">0.06 (P = 0.464)</w:t>
            </w:r>
          </w:p>
        </w:tc>
        <w:tc>
          <w:tcPr/>
          <w:p>
            <w:pPr>
              <w:pStyle w:val="Compact"/>
              <w:jc w:val="right"/>
            </w:pPr>
            <w:r>
              <w:t xml:space="preserve">0.09 (P = 0.309)</w:t>
            </w:r>
          </w:p>
        </w:tc>
        <w:tc>
          <w:tcPr/>
          <w:p>
            <w:pPr>
              <w:pStyle w:val="Compact"/>
              <w:jc w:val="right"/>
            </w:pPr>
            <w:r>
              <w:t xml:space="preserve">0.05 (P = 0.605)</w:t>
            </w:r>
          </w:p>
        </w:tc>
      </w:tr>
      <w:tr>
        <w:tc>
          <w:tcPr/>
          <w:p>
            <w:pPr>
              <w:pStyle w:val="Compact"/>
              <w:jc w:val="left"/>
            </w:pPr>
            <w:r>
              <w:t xml:space="preserve">Indirect (a × b)</w:t>
            </w:r>
          </w:p>
        </w:tc>
        <w:tc>
          <w:tcPr/>
          <w:p>
            <w:pPr>
              <w:pStyle w:val="Compact"/>
              <w:jc w:val="right"/>
            </w:pPr>
            <w:r>
              <w:t xml:space="preserve">0.84 [0.69, 1.00]</w:t>
            </w:r>
          </w:p>
        </w:tc>
        <w:tc>
          <w:tcPr/>
          <w:p>
            <w:pPr>
              <w:pStyle w:val="Compact"/>
              <w:jc w:val="right"/>
            </w:pPr>
            <w:r>
              <w:t xml:space="preserve">0.82 [0.65, 0.98]</w:t>
            </w:r>
          </w:p>
        </w:tc>
        <w:tc>
          <w:tcPr/>
          <w:p>
            <w:pPr>
              <w:pStyle w:val="Compact"/>
              <w:jc w:val="right"/>
            </w:pPr>
            <w:r>
              <w:t xml:space="preserve">0.77 [0.61, 0.92]</w:t>
            </w:r>
          </w:p>
        </w:tc>
      </w:tr>
      <w:tr>
        <w:tc>
          <w:tcPr/>
          <w:p>
            <w:pPr>
              <w:pStyle w:val="Compact"/>
              <w:jc w:val="left"/>
            </w:pPr>
            <w:r>
              <w:t xml:space="preserve">Total (c)</w:t>
            </w:r>
          </w:p>
        </w:tc>
        <w:tc>
          <w:tcPr/>
          <w:p>
            <w:pPr>
              <w:pStyle w:val="Compact"/>
              <w:jc w:val="right"/>
            </w:pPr>
            <w:r>
              <w:t xml:space="preserve">0.91 [0.87, 0.94]</w:t>
            </w:r>
          </w:p>
        </w:tc>
        <w:tc>
          <w:tcPr/>
          <w:p>
            <w:pPr>
              <w:pStyle w:val="Compact"/>
              <w:jc w:val="right"/>
            </w:pPr>
            <w:r>
              <w:t xml:space="preserve">0.91 [0.88, 0.94]</w:t>
            </w:r>
          </w:p>
        </w:tc>
        <w:tc>
          <w:tcPr/>
          <w:p>
            <w:pPr>
              <w:pStyle w:val="Compact"/>
              <w:jc w:val="right"/>
            </w:pPr>
            <w:r>
              <w:t xml:space="preserve">0.81 [0.75, 0.87]</w:t>
            </w:r>
          </w:p>
        </w:tc>
      </w:tr>
      <w:tr>
        <w:tc>
          <w:tcPr/>
          <w:p>
            <w:pPr>
              <w:pStyle w:val="Compact"/>
              <w:jc w:val="left"/>
            </w:pPr>
            <w:r>
              <w:t xml:space="preserve">Proportion mediated</w:t>
            </w:r>
          </w:p>
        </w:tc>
        <w:tc>
          <w:tcPr/>
          <w:p>
            <w:pPr>
              <w:pStyle w:val="Compact"/>
              <w:jc w:val="right"/>
            </w:pPr>
            <w:r>
              <w:t xml:space="preserve">0.93 [0.75, 1.12]</w:t>
            </w:r>
          </w:p>
        </w:tc>
        <w:tc>
          <w:tcPr/>
          <w:p>
            <w:pPr>
              <w:pStyle w:val="Compact"/>
              <w:jc w:val="right"/>
            </w:pPr>
            <w:r>
              <w:t xml:space="preserve">0.90 [0.70, 1.10]</w:t>
            </w:r>
          </w:p>
        </w:tc>
        <w:tc>
          <w:tcPr/>
          <w:p>
            <w:pPr>
              <w:pStyle w:val="Compact"/>
              <w:jc w:val="right"/>
            </w:pPr>
            <w:r>
              <w:t xml:space="preserve">0.94 [0.73, 1.17]</w:t>
            </w:r>
          </w:p>
        </w:tc>
      </w:tr>
    </w:tbl>
    <w:p>
      <w:pPr>
        <w:pStyle w:val="BodyText"/>
      </w:pPr>
      <w:r>
        <w:rPr>
          <w:iCs/>
          <w:i/>
        </w:rPr>
        <w:t xml:space="preserve">b, Observed-score regression (unstandardised, 1–7 metric;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Indirect</w:t>
            </w:r>
          </w:p>
        </w:tc>
        <w:tc>
          <w:tcPr/>
          <w:p>
            <w:pPr>
              <w:pStyle w:val="Compact"/>
              <w:jc w:val="right"/>
            </w:pPr>
            <w:r>
              <w:t xml:space="preserve">Prop. mediated</w:t>
            </w:r>
          </w:p>
        </w:tc>
      </w:tr>
      <w:tr>
        <w:tc>
          <w:tcPr/>
          <w:p>
            <w:pPr>
              <w:pStyle w:val="Compact"/>
              <w:jc w:val="left"/>
            </w:pPr>
            <w:r>
              <w:t xml:space="preserve">Full sample</w:t>
            </w:r>
          </w:p>
        </w:tc>
        <w:tc>
          <w:tcPr/>
          <w:p>
            <w:pPr>
              <w:pStyle w:val="Compact"/>
              <w:jc w:val="right"/>
            </w:pPr>
            <w:r>
              <w:t xml:space="preserve">416</w:t>
            </w:r>
          </w:p>
        </w:tc>
        <w:tc>
          <w:tcPr/>
          <w:p>
            <w:pPr>
              <w:pStyle w:val="Compact"/>
              <w:jc w:val="right"/>
            </w:pPr>
            <w:r>
              <w:t xml:space="preserve">1.15 [1.02, 1.29]</w:t>
            </w:r>
          </w:p>
        </w:tc>
        <w:tc>
          <w:tcPr/>
          <w:p>
            <w:pPr>
              <w:pStyle w:val="Compact"/>
              <w:jc w:val="right"/>
            </w:pPr>
            <w:r>
              <w:t xml:space="preserve">0.80 [0.59, 1.03]</w:t>
            </w:r>
          </w:p>
        </w:tc>
        <w:tc>
          <w:tcPr/>
          <w:p>
            <w:pPr>
              <w:pStyle w:val="Compact"/>
              <w:jc w:val="right"/>
            </w:pPr>
            <w:r>
              <w:t xml:space="preserve">0.30 [−0.01, 0.58]</w:t>
            </w:r>
          </w:p>
        </w:tc>
        <w:tc>
          <w:tcPr/>
          <w:p>
            <w:pPr>
              <w:pStyle w:val="Compact"/>
              <w:jc w:val="right"/>
            </w:pPr>
            <w:r>
              <w:t xml:space="preserve">0.92 [0.65, 1.22]</w:t>
            </w:r>
          </w:p>
        </w:tc>
        <w:tc>
          <w:tcPr/>
          <w:p>
            <w:pPr>
              <w:pStyle w:val="Compact"/>
              <w:jc w:val="right"/>
            </w:pPr>
            <w:r>
              <w:t xml:space="preserve">0.75 [0.54, 1.01]</w:t>
            </w:r>
          </w:p>
        </w:tc>
      </w:tr>
      <w:tr>
        <w:tc>
          <w:tcPr/>
          <w:p>
            <w:pPr>
              <w:pStyle w:val="Compact"/>
              <w:jc w:val="left"/>
            </w:pPr>
            <w:r>
              <w:t xml:space="preserve">Full sample + controls</w:t>
            </w:r>
          </w:p>
        </w:tc>
        <w:tc>
          <w:tcPr/>
          <w:p>
            <w:pPr>
              <w:pStyle w:val="Compact"/>
              <w:jc w:val="right"/>
            </w:pPr>
            <w:r>
              <w:t xml:space="preserve">402</w:t>
            </w:r>
          </w:p>
        </w:tc>
        <w:tc>
          <w:tcPr/>
          <w:p>
            <w:pPr>
              <w:pStyle w:val="Compact"/>
              <w:jc w:val="right"/>
            </w:pPr>
            <w:r>
              <w:t xml:space="preserve">1.17 [1.02, 1.33]</w:t>
            </w:r>
          </w:p>
        </w:tc>
        <w:tc>
          <w:tcPr/>
          <w:p>
            <w:pPr>
              <w:pStyle w:val="Compact"/>
              <w:jc w:val="right"/>
            </w:pPr>
            <w:r>
              <w:t xml:space="preserve">0.79 [0.59, 1.04]</w:t>
            </w:r>
          </w:p>
        </w:tc>
        <w:tc>
          <w:tcPr/>
          <w:p>
            <w:pPr>
              <w:pStyle w:val="Compact"/>
              <w:jc w:val="right"/>
            </w:pPr>
            <w:r>
              <w:t xml:space="preserve">0.30 [−0.04, 0.58]</w:t>
            </w:r>
          </w:p>
        </w:tc>
        <w:tc>
          <w:tcPr/>
          <w:p>
            <w:pPr>
              <w:pStyle w:val="Compact"/>
              <w:jc w:val="right"/>
            </w:pPr>
            <w:r>
              <w:t xml:space="preserve">0.93 [0.65, 1.28]</w:t>
            </w:r>
          </w:p>
        </w:tc>
        <w:tc>
          <w:tcPr/>
          <w:p>
            <w:pPr>
              <w:pStyle w:val="Compact"/>
              <w:jc w:val="right"/>
            </w:pPr>
            <w:r>
              <w:t xml:space="preserve">0.76 [0.54, 1.03]</w:t>
            </w:r>
          </w:p>
        </w:tc>
      </w:tr>
      <w:tr>
        <w:tc>
          <w:tcPr/>
          <w:p>
            <w:pPr>
              <w:pStyle w:val="Compact"/>
              <w:jc w:val="left"/>
            </w:pPr>
            <w:r>
              <w:t xml:space="preserve">Screened</w:t>
            </w:r>
            <w:r>
              <w:t xml:space="preserve"> </w:t>
            </w:r>
            <w:r>
              <w:t xml:space="preserve">‘</w:t>
            </w:r>
            <w:r>
              <w:t xml:space="preserve">Yes</w:t>
            </w:r>
            <w:r>
              <w:t xml:space="preserve">’</w:t>
            </w:r>
            <w:r>
              <w:t xml:space="preserve"> </w:t>
            </w:r>
            <w:r>
              <w:t xml:space="preserve">only</w:t>
            </w:r>
          </w:p>
        </w:tc>
        <w:tc>
          <w:tcPr/>
          <w:p>
            <w:pPr>
              <w:pStyle w:val="Compact"/>
              <w:jc w:val="right"/>
            </w:pPr>
            <w:r>
              <w:t xml:space="preserve">342</w:t>
            </w:r>
          </w:p>
        </w:tc>
        <w:tc>
          <w:tcPr/>
          <w:p>
            <w:pPr>
              <w:pStyle w:val="Compact"/>
              <w:jc w:val="right"/>
            </w:pPr>
            <w:r>
              <w:t xml:space="preserve">1.16 [1.01, 1.32]</w:t>
            </w:r>
          </w:p>
        </w:tc>
        <w:tc>
          <w:tcPr/>
          <w:p>
            <w:pPr>
              <w:pStyle w:val="Compact"/>
              <w:jc w:val="right"/>
            </w:pPr>
            <w:r>
              <w:t xml:space="preserve">0.79 [0.56, 1.04]</w:t>
            </w:r>
          </w:p>
        </w:tc>
        <w:tc>
          <w:tcPr/>
          <w:p>
            <w:pPr>
              <w:pStyle w:val="Compact"/>
              <w:jc w:val="right"/>
            </w:pPr>
            <w:r>
              <w:t xml:space="preserve">0.34 [−0.00, 0.62]</w:t>
            </w:r>
          </w:p>
        </w:tc>
        <w:tc>
          <w:tcPr/>
          <w:p>
            <w:pPr>
              <w:pStyle w:val="Compact"/>
              <w:jc w:val="right"/>
            </w:pPr>
            <w:r>
              <w:t xml:space="preserve">0.91 [0.62, 1.25]</w:t>
            </w:r>
          </w:p>
        </w:tc>
        <w:tc>
          <w:tcPr/>
          <w:p>
            <w:pPr>
              <w:pStyle w:val="Compact"/>
              <w:jc w:val="right"/>
            </w:pPr>
            <w:r>
              <w:t xml:space="preserve">0.73 [0.51, 1.00]</w:t>
            </w:r>
          </w:p>
        </w:tc>
      </w:tr>
      <w:tr>
        <w:tc>
          <w:tcPr/>
          <w:p>
            <w:pPr>
              <w:pStyle w:val="Compact"/>
              <w:jc w:val="left"/>
            </w:pPr>
            <w:r>
              <w:t xml:space="preserve">Excluding straight-liners</w:t>
            </w:r>
          </w:p>
        </w:tc>
        <w:tc>
          <w:tcPr/>
          <w:p>
            <w:pPr>
              <w:pStyle w:val="Compact"/>
              <w:jc w:val="right"/>
            </w:pPr>
            <w:r>
              <w:t xml:space="preserve">207</w:t>
            </w:r>
          </w:p>
        </w:tc>
        <w:tc>
          <w:tcPr/>
          <w:p>
            <w:pPr>
              <w:pStyle w:val="Compact"/>
              <w:jc w:val="right"/>
            </w:pPr>
            <w:r>
              <w:t xml:space="preserve">1.14 [0.99, 1.31]</w:t>
            </w:r>
          </w:p>
        </w:tc>
        <w:tc>
          <w:tcPr/>
          <w:p>
            <w:pPr>
              <w:pStyle w:val="Compact"/>
              <w:jc w:val="right"/>
            </w:pPr>
            <w:r>
              <w:t xml:space="preserve">0.79 [0.59, 1.02]</w:t>
            </w:r>
          </w:p>
        </w:tc>
        <w:tc>
          <w:tcPr/>
          <w:p>
            <w:pPr>
              <w:pStyle w:val="Compact"/>
              <w:jc w:val="right"/>
            </w:pPr>
            <w:r>
              <w:t xml:space="preserve">0.27 [−0.07, 0.57]</w:t>
            </w:r>
          </w:p>
        </w:tc>
        <w:tc>
          <w:tcPr/>
          <w:p>
            <w:pPr>
              <w:pStyle w:val="Compact"/>
              <w:jc w:val="right"/>
            </w:pPr>
            <w:r>
              <w:t xml:space="preserve">0.91 [0.64, 1.22]</w:t>
            </w:r>
          </w:p>
        </w:tc>
        <w:tc>
          <w:tcPr/>
          <w:p>
            <w:pPr>
              <w:pStyle w:val="Compact"/>
              <w:jc w:val="right"/>
            </w:pPr>
            <w:r>
              <w:t xml:space="preserve">0.77 [0.54, 1.07]</w:t>
            </w:r>
          </w:p>
        </w:tc>
      </w:tr>
      <w:tr>
        <w:tc>
          <w:tcPr/>
          <w:p>
            <w:pPr>
              <w:pStyle w:val="Compact"/>
              <w:jc w:val="left"/>
            </w:pPr>
            <w:r>
              <w:t xml:space="preserve">Excluding straight-liners + controls</w:t>
            </w:r>
          </w:p>
        </w:tc>
        <w:tc>
          <w:tcPr/>
          <w:p>
            <w:pPr>
              <w:pStyle w:val="Compact"/>
              <w:jc w:val="right"/>
            </w:pPr>
            <w:r>
              <w:t xml:space="preserve">199</w:t>
            </w:r>
          </w:p>
        </w:tc>
        <w:tc>
          <w:tcPr/>
          <w:p>
            <w:pPr>
              <w:pStyle w:val="Compact"/>
              <w:jc w:val="right"/>
            </w:pPr>
            <w:r>
              <w:t xml:space="preserve">1.17 [0.98, 1.37]</w:t>
            </w:r>
          </w:p>
        </w:tc>
        <w:tc>
          <w:tcPr/>
          <w:p>
            <w:pPr>
              <w:pStyle w:val="Compact"/>
              <w:jc w:val="right"/>
            </w:pPr>
            <w:r>
              <w:t xml:space="preserve">0.79 [0.59, 1.04]</w:t>
            </w:r>
          </w:p>
        </w:tc>
        <w:tc>
          <w:tcPr/>
          <w:p>
            <w:pPr>
              <w:pStyle w:val="Compact"/>
              <w:jc w:val="right"/>
            </w:pPr>
            <w:r>
              <w:t xml:space="preserve">0.26 [−0.15, 0.56]</w:t>
            </w:r>
          </w:p>
        </w:tc>
        <w:tc>
          <w:tcPr/>
          <w:p>
            <w:pPr>
              <w:pStyle w:val="Compact"/>
              <w:jc w:val="right"/>
            </w:pPr>
            <w:r>
              <w:t xml:space="preserve">0.93 [0.64, 1.29]</w:t>
            </w:r>
          </w:p>
        </w:tc>
        <w:tc>
          <w:tcPr/>
          <w:p>
            <w:pPr>
              <w:pStyle w:val="Compact"/>
              <w:jc w:val="right"/>
            </w:pPr>
            <w:r>
              <w:t xml:space="preserve">0.78 [0.55, 1.14]</w:t>
            </w:r>
          </w:p>
        </w:tc>
      </w:tr>
    </w:tbl>
    <w:p>
      <w:pPr>
        <w:pStyle w:val="BodyText"/>
      </w:pPr>
      <w:r>
        <w:t xml:space="preserve">Brackets give 95% confidence intervals (Monte Carlo, 20,000 draws, in a; percentile bootstrap in b). Controls: gender, age group, organisation type (private hospital versus other) and experience (&gt;15 versus ≤15 years).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2026-10-17T09:47:15Z</dcterms:created>
  <dcterms:modified xsi:type="dcterms:W3CDTF">2026-10-17T09:47:15Z</dcterms:modified>
</cp:coreProperties>
</file>

<file path=docProps/custom.xml><?xml version="1.0" encoding="utf-8"?>
<Properties xmlns="http://schemas.openxmlformats.org/officeDocument/2006/custom-properties" xmlns:vt="http://schemas.openxmlformats.org/officeDocument/2006/docPropsVTypes"/>
</file>