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Discover Health Systems</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Discover Health Systems</w:t>
      </w:r>
      <w:r>
        <w:t xml:space="preserve">. The manuscript comes to you through the Springer Nature transfer service from</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examined how environment-aware strategic planning, capacity development (training, earmarked resources, climate-relevant infrastructure and interdepartmental cooperation) and institutional resilience are related.</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among screened respondents, after excluding uniform and possible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 reverse-order model fits equally well, and responses cluster at the scale maximum.</w:t>
      </w:r>
    </w:p>
    <w:p>
      <w:pPr>
        <w:pStyle w:val="FirstParagraph"/>
      </w:pPr>
      <w:r>
        <w:rPr>
          <w:iCs/>
          <w:i/>
        </w:rPr>
        <w:t xml:space="preserve">BMC Health Services Research</w:t>
      </w:r>
      <w:r>
        <w:t xml:space="preserve"> </w:t>
      </w:r>
      <w:r>
        <w:t xml:space="preserve">declined to send the manuscript for review because a cross-sectional design cannot support causal mediation. We agree, and the manuscript now states explicitly in the abstract and methods that the model is a statistical mediation model. It shows how the associations are structured; it does not establish temporal or causal order. The manuscript reports the equivalent reverse-order model and calls for longitudinal, multi-source studies to test causality.</w:t>
      </w:r>
    </w:p>
    <w:p>
      <w:pPr>
        <w:pStyle w:val="BodyText"/>
      </w:pPr>
      <w:r>
        <w:t xml:space="preserve">We believe the work fits the journal’s focus on the organisational management of health systems, capacity building in low- and middle-income countries, and disaster planning and response. It also bridges health-outcome and management perspectives, as the journal encourages, and gives managers and regulators concrete, monitorable targets. The study follows the STROBE and CHERRIES reporting guidelines; the completed checklists are provided to the editor as related files.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2026-10-23T10:35:32Z</dcterms:created>
  <dcterms:modified xsi:type="dcterms:W3CDTF">2026-10-23T10:35:32Z</dcterms:modified>
</cp:coreProperties>
</file>

<file path=docProps/custom.xml><?xml version="1.0" encoding="utf-8"?>
<Properties xmlns="http://schemas.openxmlformats.org/officeDocument/2006/custom-properties" xmlns:vt="http://schemas.openxmlformats.org/officeDocument/2006/docPropsVTypes"/>
</file>