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dditional-file-1-supplementary-tables"/>
    <w:p>
      <w:pPr>
        <w:pStyle w:val="Heading1"/>
      </w:pPr>
      <w:r>
        <w:t xml:space="preserve">Additional file 1: Supplementary tables</w:t>
      </w:r>
    </w:p>
    <w:p>
      <w:pPr>
        <w:pStyle w:val="FirstParagraph"/>
      </w:pPr>
      <w:r>
        <w:t xml:space="preserve">Strategic Planning and Institutional Resilience in Cairo’s Health Sector: Examining the Mediating Role of Capacity Development in the Context of Environmental Crisis Management</w:t>
      </w:r>
    </w:p>
    <w:p>
      <w:pPr>
        <w:pStyle w:val="BodyText"/>
      </w:pPr>
      <w:r>
        <w:rPr>
          <w:bCs/>
          <w:b/>
        </w:rPr>
        <w:t xml:space="preserve">Table S1</w:t>
      </w:r>
      <w:r>
        <w:t xml:space="preserve"> </w:t>
      </w:r>
      <w:r>
        <w:t xml:space="preserve">Sample flow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Step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Form submissions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439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Excluded: screening question answered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No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(questionnaire skipped)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Excluded: incomplete Likert responses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Analytic sample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416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of which passed screening question (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Yes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342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of which responded before screening question was added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74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of which straight-lined (same answer on all 20 items)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209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of which identical to an earlier response (demographics, job title, all items)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161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S2</w:t>
      </w:r>
      <w:r>
        <w:t xml:space="preserve"> </w:t>
      </w:r>
      <w:r>
        <w:t xml:space="preserve">Questionnaire items (English and Arabic)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Item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Construct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English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Arabic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sp1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Strategic planning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Our organisation regularly conducts strategic assessments related to environmental threats.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تقوم مؤسستنا بإجراء تقييمات استراتيجية للمخاطر البيئية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sp2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Strategic planning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We use structured tools (e.g., SWOT or PESTEL) for strategic planning.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نستخدم أدوات منهجية (مثل SWOT أو PESTEL) في التخطيط الاستراتيجي.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sp3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Strategic planning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Environmental risks are considered when prioritising institutional goals.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يتم أخذ المخاطر البيئية في الاعتبار عند تحديد أولويات المؤسسة.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sp4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Strategic planning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Our strategic plans are developed with input from multiple departments.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يتم إعداد الخطط الاستراتيجية لدينا بمشاركة عدة إدارات.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sp5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Strategic planning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We update strategic assessments regularly in response to changing risks.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نقوم بتحديث التقييمات الاستراتيجية بانتظام استجابةً لتغير المخاطر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sp6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Strategic planning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Our institution integrates environmental preparedness into strategic documents.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تدمج مؤسستنا الاستعداد البيئي في الوثائق الاستراتيجية.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sp7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Strategic planning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Our strategic planning aligns with national strategies (e.g., Egypt Vision 2030, SDGs).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يتماشى التخطيط الاستراتيجي لدينا مع الاستراتيجيات الوطنية (مثل رؤية مصر 2030 وأهداف التنمية المستدامة)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sp8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Strategic planning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There is clear coordination between crisis management and planning teams.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يوجد تنسيق واضح بين فرق إدارة الأزمات والتخطيط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sp9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Strategic planning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Environmental risks are reflected in our policy and budget planning.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تنعكس المخاطر البيئية في تخطيط السياسات والموازنات لدينا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sp10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Strategic planning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Strategic planning is supported by leadership at all institutional levels.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يحظى التخطيط الاستراتيجي بدعم القيادة على جميع المستويات المؤسسية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cd1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Capacity development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Staff are trained to respond to environmental health emergencies.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يتم تدريب الموظفين على الاستجابة لحالات الطوارئ الصحية البيئية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cd2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Capacity development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Our institution allocates financial resources for environmental preparedness.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تخصص مؤسستنا موارد مالية للاستعداد البيئي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cd3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Capacity development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We invest in infrastructure or equipment related to climate and health risks.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نستثمر في البنية التحتية أو المعدات المتعلقة بالمناخ ومخاطر الصحة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cd4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Capacity development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Interdepartmental cooperation is encouraged to build institutional capacity.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يتم تشجيع التعاون بين الإدارات لبناء القدرات المؤسسية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cd5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Capacity development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There is a continuous effort to develop planning and response capabilities.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هناك جهود مستمرة لتطوير قدرات التخطيط والاستجابة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ir1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Institutional resilience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Our organisation learns from previous crises to improve future responses.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تتعلم مؤسستنا من الأزمات السابقة لتحسين الاستجابة المستقبلية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ir2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Institutional resilience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Simulation drills or exercises are conducted regularly.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تُجرى تدريبات أو تمارين محاكاة بانتظام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ir3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Institutional resilience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We monitor and evaluate our environmental preparedness performance.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نقوم برصد وتقييم أداء الاستعداد البيئي لدينا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ir4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Institutional resilience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Feedback from past events is used to update strategic plans.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يتم استخدام التغذية الراجعة من الأحداث السابقة لتحديث الخطط الاستراتيجية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ir5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Institutional resilience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We adapt our operations and structures in response to emerging crises.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نقوم بتكييف عملياتنا وهياكلنا استجابةً للأزمات الناشئة</w:t>
            </w:r>
          </w:p>
        </w:tc>
      </w:tr>
    </w:tbl>
    <w:p>
      <w:pPr>
        <w:pStyle w:val="BodyText"/>
      </w:pPr>
      <w:r>
        <w:t xml:space="preserve">All items were rated on a seven-point scale (1 = strongly disagree; 7 = strongly agree).</w:t>
      </w:r>
    </w:p>
    <w:p>
      <w:pPr>
        <w:pStyle w:val="BodyText"/>
      </w:pPr>
      <w:r>
        <w:rPr>
          <w:bCs/>
          <w:b/>
        </w:rPr>
        <w:t xml:space="preserve">Table S3</w:t>
      </w:r>
      <w:r>
        <w:t xml:space="preserve"> </w:t>
      </w:r>
      <w:r>
        <w:t xml:space="preserve">Item statistics and standardised factor loadings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Item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Mean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SD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% 7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% 1–4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Item–rest r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Loading (full)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Loading (excl. straight-liners)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sp1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6.80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0.45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82.0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0.76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0.91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0.84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sp2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6.46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0.94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65.1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2.4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0.77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0.88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0.70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sp3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6.74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0.52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76.9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0.75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0.91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0.81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sp4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6.76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0.55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79.3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0.5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0.80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0.92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0.84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sp5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6.72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0.68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79.1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1.2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0.83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0.94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0.90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sp6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6.76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0.53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79.6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0.5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0.81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0.94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0.88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sp7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6.89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0.43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91.3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0.5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0.72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0.94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0.94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sp8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6.79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0.55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82.9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0.80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0.91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0.85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sp9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6.73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0.69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79.3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1.4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0.83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0.92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0.85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sp10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6.79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0.54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82.7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1.2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0.76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0.88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0.78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cd1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6.61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0.89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75.5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2.2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0.89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0.94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0.87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cd2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6.68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0.73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77.6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2.2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0.87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0.96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0.93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cd3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6.64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0.86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77.4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2.4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0.91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0.97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0.95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cd4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6.78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0.55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81.5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0.5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0.78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0.94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0.90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cd5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6.78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0.52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82.0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0.5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0.76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0.93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0.88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ir1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6.73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0.68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79.8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1.4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0.83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0.93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0.88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ir2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6.45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1.03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67.8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3.6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0.80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0.91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0.79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ir3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6.69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0.76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78.6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2.2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0.82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0.95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0.91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ir4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6.68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0.78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79.1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1.9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0.89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0.94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0.90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ir5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6.74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0.68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81.0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1.7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0.82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0.92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0.85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S4</w:t>
      </w:r>
      <w:r>
        <w:t xml:space="preserve"> </w:t>
      </w:r>
      <w:r>
        <w:t xml:space="preserve">Response-style diagnostics and Harman single-factor test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Indicator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Respondents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416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Identical answer on all 20 items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209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of which all 7 (</w:t>
            </w:r>
            <w:r>
              <w:rPr>
                <w:sz w:val="18"/>
              </w:rPr>
              <w:t xml:space="preserve">‘</w:t>
            </w:r>
            <w:r>
              <w:rPr>
                <w:sz w:val="18"/>
              </w:rPr>
              <w:t xml:space="preserve">strongly agree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207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Median % of items answered 7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95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Median within-person SD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Any item answered 1-3 (disagreement)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17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Identical to an earlier response (demographics, job title, all items)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161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of which straight-lined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152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Sample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% variance, first component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Eigenvalues &gt; 1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Full sample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68.25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Screened respondents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70.0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Excluding straight-liners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61.67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Excluding repeat profiles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64.62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2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S5</w:t>
      </w:r>
      <w:r>
        <w:t xml:space="preserve"> </w:t>
      </w:r>
      <w:r>
        <w:t xml:space="preserve">Observed-score mediation in all analysis samples (unstandardised coefficients; 95% percentile bootstrap CI, 5,000 resamples)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Specification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n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c′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Indirect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Proportion mediated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Full sample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416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1.15 [1.02, 1.29]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0.80 [0.59, 1.03]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0.30 [−0.01, 0.58]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0.92 [0.65, 1.22]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0.75 [0.54, 1.01]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Full sample + controls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402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1.17 [1.02, 1.33]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0.79 [0.59, 1.04]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0.30 [−0.04, 0.58]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0.93 [0.65, 1.28]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0.76 [0.54, 1.03]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Screened respondents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342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1.16 [1.01, 1.32]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0.79 [0.56, 1.04]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0.34 [−0.00, 0.62]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0.91 [0.62, 1.25]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0.73 [0.51, 1.00]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Excluding straight-liners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207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1.14 [0.99, 1.31]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0.79 [0.59, 1.02]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0.27 [−0.07, 0.57]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0.91 [0.64, 1.22]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0.77 [0.54, 1.07]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Excluding straight-liners + controls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199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1.17 [0.98, 1.37]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0.79 [0.59, 1.04]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0.26 [−0.15, 0.56]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0.93 [0.64, 1.29]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0.78 [0.55, 1.14]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Excluding repeat profiles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255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1.15 [1.01, 1.30]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0.80 [0.60, 1.03]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0.28 [−0.05, 0.56]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0.92 [0.66, 1.23]</w:t>
            </w:r>
          </w:p>
        </w:tc>
        <w:tc>
          <w:tcPr/>
          <w:p>
            <w:pPr>
              <w:pStyle w:val="Compact"/>
              <w:spacing w:line="240" w:lineRule="auto"/>
              <w:jc w:val="right"/>
            </w:pPr>
            <w:r>
              <w:rPr>
                <w:sz w:val="18"/>
              </w:rPr>
              <w:t xml:space="preserve">0.77 [0.55, 1.04]</w:t>
            </w:r>
          </w:p>
        </w:tc>
      </w:tr>
    </w:tbl>
    <w:bookmarkEnd w:id="20"/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 w:line="276" w:lineRule="auto"/>
    </w:pPr>
    <w:qFormat/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276" w:lineRule="auto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2026-10-17T10:30:43Z</dcterms:created>
  <dcterms:modified xsi:type="dcterms:W3CDTF">2026-10-17T10:30:43Z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