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Strategic</w:t>
      </w:r>
      <w:r>
        <w:t xml:space="preserve"> </w:t>
      </w:r>
      <w:r>
        <w:t xml:space="preserve">Planning</w:t>
      </w:r>
      <w:r>
        <w:t xml:space="preserve"> </w:t>
      </w:r>
      <w:r>
        <w:t xml:space="preserve">and</w:t>
      </w:r>
      <w:r>
        <w:t xml:space="preserve"> </w:t>
      </w:r>
      <w:r>
        <w:t xml:space="preserve">Institutional</w:t>
      </w:r>
      <w:r>
        <w:t xml:space="preserve"> </w:t>
      </w:r>
      <w:r>
        <w:t xml:space="preserve">Resilience</w:t>
      </w:r>
      <w:r>
        <w:t xml:space="preserve"> </w:t>
      </w:r>
      <w:r>
        <w:t xml:space="preserve">in</w:t>
      </w:r>
      <w:r>
        <w:t xml:space="preserve"> </w:t>
      </w:r>
      <w:r>
        <w:t xml:space="preserve">Cairo’s</w:t>
      </w:r>
      <w:r>
        <w:t xml:space="preserve"> </w:t>
      </w:r>
      <w:r>
        <w:t xml:space="preserve">Health</w:t>
      </w:r>
      <w:r>
        <w:t xml:space="preserve"> </w:t>
      </w:r>
      <w:r>
        <w:t xml:space="preserve">Sector:</w:t>
      </w:r>
      <w:r>
        <w:t xml:space="preserve"> </w:t>
      </w:r>
      <w:r>
        <w:t xml:space="preserve">Examining</w:t>
      </w:r>
      <w:r>
        <w:t xml:space="preserve"> </w:t>
      </w:r>
      <w:r>
        <w:t xml:space="preserve">the</w:t>
      </w:r>
      <w:r>
        <w:t xml:space="preserve"> </w:t>
      </w:r>
      <w:r>
        <w:t xml:space="preserve">Mediating</w:t>
      </w:r>
      <w:r>
        <w:t xml:space="preserve"> </w:t>
      </w:r>
      <w:r>
        <w:t xml:space="preserve">Role</w:t>
      </w:r>
      <w:r>
        <w:t xml:space="preserve"> </w:t>
      </w:r>
      <w:r>
        <w:t xml:space="preserve">of</w:t>
      </w:r>
      <w:r>
        <w:t xml:space="preserve"> </w:t>
      </w:r>
      <w:r>
        <w:t xml:space="preserve">Capacity</w:t>
      </w:r>
      <w:r>
        <w:t xml:space="preserve"> </w:t>
      </w:r>
      <w:r>
        <w:t xml:space="preserve">Development</w:t>
      </w:r>
      <w:r>
        <w:t xml:space="preserve"> </w:t>
      </w:r>
      <w:r>
        <w:t xml:space="preserve">in</w:t>
      </w:r>
      <w:r>
        <w:t xml:space="preserve"> </w:t>
      </w:r>
      <w:r>
        <w:t xml:space="preserve">the</w:t>
      </w:r>
      <w:r>
        <w:t xml:space="preserve"> </w:t>
      </w:r>
      <w:r>
        <w:t xml:space="preserve">Context</w:t>
      </w:r>
      <w:r>
        <w:t xml:space="preserve"> </w:t>
      </w:r>
      <w:r>
        <w:t xml:space="preserve">of</w:t>
      </w:r>
      <w:r>
        <w:t xml:space="preserve"> </w:t>
      </w:r>
      <w:r>
        <w:t xml:space="preserve">Environmental</w:t>
      </w:r>
      <w:r>
        <w:t xml:space="preserve"> </w:t>
      </w:r>
      <w:r>
        <w:t xml:space="preserve">Crisis</w:t>
      </w:r>
      <w:r>
        <w:t xml:space="preserve"> </w:t>
      </w:r>
      <w:r>
        <w:t xml:space="preserve">Management</w:t>
      </w:r>
    </w:p>
    <w:p>
      <w:pPr>
        <w:pStyle w:val="FirstParagraph"/>
      </w:pPr>
      <w:r>
        <w:rPr>
          <w:bCs/>
          <w:b/>
        </w:rPr>
        <w:t xml:space="preserve">Ahmed Hamza</w:t>
      </w:r>
      <w:r>
        <w:rPr>
          <w:vertAlign w:val="superscript"/>
        </w:rPr>
        <w:t xml:space="preserve">1*</w:t>
      </w:r>
      <w:r>
        <w:t xml:space="preserve"> </w:t>
      </w:r>
      <w:r>
        <w:t xml:space="preserve">(ORCID 0009-0006-2101-7866) and</w:t>
      </w:r>
      <w:r>
        <w:t xml:space="preserve"> </w:t>
      </w:r>
      <w:r>
        <w:rPr>
          <w:bCs/>
          <w:b/>
        </w:rPr>
        <w:t xml:space="preserve">Mahmoud S. Abousekken</w:t>
      </w:r>
      <w:r>
        <w:rPr>
          <w:vertAlign w:val="superscript"/>
        </w:rPr>
        <w:t xml:space="preserve">1</w:t>
      </w:r>
      <w:r>
        <w:t xml:space="preserve"> </w:t>
      </w:r>
      <w:r>
        <w:t xml:space="preserve">(ORCID 0000-0002-2544-616X)</w:t>
      </w:r>
    </w:p>
    <w:p>
      <w:pPr>
        <w:pStyle w:val="BodyText"/>
      </w:pPr>
      <w:r>
        <w:rPr>
          <w:vertAlign w:val="superscript"/>
        </w:rPr>
        <w:t xml:space="preserve">1</w:t>
      </w:r>
      <w:r>
        <w:t xml:space="preserve"> </w:t>
      </w:r>
      <w:r>
        <w:t xml:space="preserve">Environmental Studies and Research Institute (ESRI), University of Sadat City, Sadat City, Menoufia, Egypt</w:t>
      </w:r>
    </w:p>
    <w:p>
      <w:pPr>
        <w:pStyle w:val="BodyText"/>
      </w:pPr>
      <w:r>
        <w:t xml:space="preserve">*Corresponding author: Ahmed Hamza, ahmed.hamza@esri.usc.edu.eg</w:t>
      </w:r>
    </w:p>
    <w:bookmarkStart w:id="20" w:name="abstract"/>
    <w:p>
      <w:pPr>
        <w:pStyle w:val="Heading1"/>
      </w:pPr>
      <w:r>
        <w:t xml:space="preserve">Abstract</w:t>
      </w:r>
    </w:p>
    <w:p>
      <w:pPr>
        <w:pStyle w:val="FirstParagraph"/>
      </w:pPr>
      <w:r>
        <w:rPr>
          <w:bCs/>
          <w:b/>
        </w:rPr>
        <w:t xml:space="preserve">Background:</w:t>
      </w:r>
      <w:r>
        <w:t xml:space="preserve"> </w:t>
      </w:r>
      <w:r>
        <w:t xml:space="preserve">Heatwaves, flooding, air pollution and other environmental crises increasingly disrupt health services. Health institutions are expected to plan for these threats, but little is known about how planning becomes institutional resilience, particularly in North African megacities. This study examined whether capacity development mediates the association between strategic planning and institutional resilience in Cairo’s health sector.</w:t>
      </w:r>
    </w:p>
    <w:p>
      <w:pPr>
        <w:pStyle w:val="BodyText"/>
      </w:pPr>
      <w:r>
        <w:rPr>
          <w:bCs/>
          <w:b/>
        </w:rPr>
        <w:t xml:space="preserve">Methods:</w:t>
      </w:r>
      <w:r>
        <w:t xml:space="preserve"> </w:t>
      </w:r>
      <w:r>
        <w:t xml:space="preserve">We conducted a cross-sectional, bilingual (Arabic–English) online survey of health-sector managers and supervisors in Cairo, Egypt, between June and August 2025. Strategic planning (10 items), capacity development (5 items) and institutional resilience (5 items) were measured on seven-point scales. We used ordinal confirmatory factor analysis and structural equation modelling (WLSMV). Indirect effects were tested with Monte Carlo and bootstrap confidence intervals. Robustness was assessed in screened respondents, after excluding uniform (straight-line) responders and possible repeat submissions, with a common-method factor and against alternative causal orderings.</w:t>
      </w:r>
    </w:p>
    <w:p>
      <w:pPr>
        <w:pStyle w:val="BodyText"/>
      </w:pPr>
      <w:r>
        <w:rPr>
          <w:bCs/>
          <w:b/>
        </w:rPr>
        <w:t xml:space="preserve">Results:</w:t>
      </w:r>
      <w:r>
        <w:t xml:space="preserve"> </w:t>
      </w:r>
      <w:r>
        <w:t xml:space="preserve">Of 439 submissions, 416 eligible respondents completed the questionnaire; 86.1% worked in private hospitals. Ratings were concentrated at the scale maximum, and 209 respondents (50.2%) gave identical answers to all items. The three-factor measurement model fitted well (CFI = 0.996, RMSEA = 0.039). However, capacity development and resilience were highly correlated (latent r = 0.97). Strategic planning was strongly associated with capacity development (β = 0.92), which was in turn associated with resilience (β = 0.92). The indirect effect was 0.84 (95% CI 0.69–1.00), and the direct effect of planning on resilience was not significant (β = 0.06, P = 0.46). Indirect effects remained substantial in every robustness sample (0.77–0.82) and after adding a common-method factor (0.69). A model with the reverse order (planning → resilience → capacity) fitted equally well.</w:t>
      </w:r>
    </w:p>
    <w:p>
      <w:pPr>
        <w:pStyle w:val="BodyText"/>
      </w:pPr>
      <w:r>
        <w:rPr>
          <w:bCs/>
          <w:b/>
        </w:rPr>
        <w:t xml:space="preserve">Conclusions:</w:t>
      </w:r>
      <w:r>
        <w:t xml:space="preserve"> </w:t>
      </w:r>
      <w:r>
        <w:t xml:space="preserve">In Cairo’s health institutions, environment-aware strategic planning is associated with resilience almost entirely through capacity development: training, earmarked resources, climate-relevant infrastructure and interdepartmental cooperation. Because the data are cross-sectional and single-source, and because capacity and resilience overlap empirically, these findings identify capacity development as a priority target rather than establishing a causal pathway. Multi-source and longitudinal studies with objective resilience indicators are needed.</w:t>
      </w:r>
    </w:p>
    <w:p>
      <w:pPr>
        <w:pStyle w:val="BodyText"/>
      </w:pPr>
      <w:r>
        <w:rPr>
          <w:bCs/>
          <w:b/>
        </w:rPr>
        <w:t xml:space="preserve">Keywords:</w:t>
      </w:r>
      <w:r>
        <w:t xml:space="preserve"> </w:t>
      </w:r>
      <w:r>
        <w:t xml:space="preserve">Strategic planning; Institutional resilience; Capacity development; Climate-resilient health systems; Environmental crisis management; Hospital preparedness; Structural equation modelling; Egypt</w:t>
      </w:r>
    </w:p>
    <w:bookmarkEnd w:id="20"/>
    <w:bookmarkStart w:id="22" w:name="background"/>
    <w:p>
      <w:pPr>
        <w:pStyle w:val="Heading1"/>
      </w:pPr>
      <w:r>
        <w:t xml:space="preserve">Background</w:t>
      </w:r>
    </w:p>
    <w:p>
      <w:pPr>
        <w:pStyle w:val="FirstParagraph"/>
      </w:pPr>
      <w:r>
        <w:t xml:space="preserve">Environmental crises, including heatwaves, water scarcity, flooding, air pollution and climate-sensitive infectious disease, are becoming a routine operating condition for health systems [1]. They increase demand for care while disrupting the energy, water, supply chains and staff on which care depends. International guidance therefore asks health institutions to integrate environmental risk into their governance, workforce, information systems and emergency preparedness [2–4]. At facility level, it emphasises workforce, water and sanitation, energy and infrastructure [5].</w:t>
      </w:r>
    </w:p>
    <w:p>
      <w:pPr>
        <w:pStyle w:val="BodyText"/>
      </w:pPr>
      <w:r>
        <w:t xml:space="preserve">Egypt is highly exposed to rising temperatures, water stress and sea-level rise, and its National Climate Change Strategy 2050 identifies health as a sector requiring adaptation [6]. Greater Cairo, home to more than 20 million people and a large share of the country’s hospital capacity, has experienced more frequent, intense and prolonged heatwaves, which coincide with episodes of poor air quality [7]. The COVID-19 pandemic showed how quickly critical-care capacity in Egyptian hospitals can be exhausted [8]. Despite this exposure, there is little quantitative evidence on how Egyptian health institutions organise themselves for environmental crises. Earlier work by our group reviewed the role of strategic planning in environmental crisis management and called for empirical tests of how planning translates into crisis capability [9].</w:t>
      </w:r>
    </w:p>
    <w:bookmarkStart w:id="21" w:name="conceptual-framework"/>
    <w:p>
      <w:pPr>
        <w:pStyle w:val="Heading2"/>
      </w:pPr>
      <w:r>
        <w:t xml:space="preserve">Conceptual framework</w:t>
      </w:r>
    </w:p>
    <w:p>
      <w:pPr>
        <w:pStyle w:val="FirstParagraph"/>
      </w:pPr>
      <w:r>
        <w:t xml:space="preserve">We draw on capability-based theories of organisational resilience. Resilience is understood not as a fixed trait but as a set of capabilities to anticipate threats, cope with disruption and adapt afterwards [10–12]. In the dynamic-capabilities tradition, organisations stay viable in changing environments by sensing threats, mobilising resources and reconfiguring their operations [13]. This lens has recently been applied to resilience in health care [14]. Studies of health-system and hospital resilience consistently identify deliberate investment in information, people, finance, infrastructure and coordination, together with learning from previous shocks, as the foundations of these capabilities [15–19].</w:t>
      </w:r>
    </w:p>
    <w:p>
      <w:pPr>
        <w:pStyle w:val="BodyText"/>
      </w:pPr>
      <w:r>
        <w:t xml:space="preserve">Strategic planning is the managerial process through which organisations scan their environment, set priorities and allocate resources [20]. When environmental threats are built into planning, through structured risk assessment, integration into strategic and budget documents, and alignment with national strategies such as Egypt Vision 2030, planning is the organisation’s sensing and prioritising function. Plans do not, however, deliver resilience by themselves. A recurring lesson of COVID-19 is that formal preparedness was a poor guide to performance: governance, coordination and the ability to mobilise staff and surge resources proved decisive [17, 21].</w:t>
      </w:r>
    </w:p>
    <w:p>
      <w:pPr>
        <w:pStyle w:val="BodyText"/>
      </w:pPr>
      <w:r>
        <w:t xml:space="preserve">Capacity development, the systematic strengthening of the human, financial, infrastructural and relational resources an organisation needs to perform [22], is therefore the plausible link between plans and resilience. Strategic human resource management and resource allocation turn strategic intent into the skills, slack and routines that let organisations absorb and adapt to shocks [23]. We therefore hypothesised that:</w:t>
      </w:r>
    </w:p>
    <w:p>
      <w:pPr>
        <w:numPr>
          <w:ilvl w:val="0"/>
          <w:numId w:val="1001"/>
        </w:numPr>
        <w:pStyle w:val="Compact"/>
      </w:pPr>
      <w:r>
        <w:rPr>
          <w:bCs/>
          <w:b/>
        </w:rPr>
        <w:t xml:space="preserve">H1.</w:t>
      </w:r>
      <w:r>
        <w:t xml:space="preserve"> </w:t>
      </w:r>
      <w:r>
        <w:t xml:space="preserve">Strategic planning is positively associated with capacity development.</w:t>
      </w:r>
    </w:p>
    <w:p>
      <w:pPr>
        <w:numPr>
          <w:ilvl w:val="0"/>
          <w:numId w:val="1001"/>
        </w:numPr>
        <w:pStyle w:val="Compact"/>
      </w:pPr>
      <w:r>
        <w:rPr>
          <w:bCs/>
          <w:b/>
        </w:rPr>
        <w:t xml:space="preserve">H2.</w:t>
      </w:r>
      <w:r>
        <w:t xml:space="preserve"> </w:t>
      </w:r>
      <w:r>
        <w:t xml:space="preserve">Capacity development is positively associated with institutional resilience, holding strategic planning constant.</w:t>
      </w:r>
    </w:p>
    <w:p>
      <w:pPr>
        <w:numPr>
          <w:ilvl w:val="0"/>
          <w:numId w:val="1001"/>
        </w:numPr>
        <w:pStyle w:val="Compact"/>
      </w:pPr>
      <w:r>
        <w:rPr>
          <w:bCs/>
          <w:b/>
        </w:rPr>
        <w:t xml:space="preserve">H3.</w:t>
      </w:r>
      <w:r>
        <w:t xml:space="preserve"> </w:t>
      </w:r>
      <w:r>
        <w:t xml:space="preserve">Strategic planning is positively associated with institutional resilience after accounting for capacity development (direct effect).</w:t>
      </w:r>
    </w:p>
    <w:p>
      <w:pPr>
        <w:numPr>
          <w:ilvl w:val="0"/>
          <w:numId w:val="1001"/>
        </w:numPr>
        <w:pStyle w:val="Compact"/>
      </w:pPr>
      <w:r>
        <w:rPr>
          <w:bCs/>
          <w:b/>
        </w:rPr>
        <w:t xml:space="preserve">H4.</w:t>
      </w:r>
      <w:r>
        <w:t xml:space="preserve"> </w:t>
      </w:r>
      <w:r>
        <w:t xml:space="preserve">Capacity development mediates the association between strategic planning and institutional resilience (indirect effect).</w:t>
      </w:r>
    </w:p>
    <w:p>
      <w:pPr>
        <w:pStyle w:val="FirstParagraph"/>
      </w:pPr>
      <w:r>
        <w:t xml:space="preserve">Self-reported preparedness is vulnerable to ceiling effects, acquiescence and common-method variance [24, 25]. We therefore treated measurement quality as a substantive question. We assessed discriminant validity against current criteria [26], screened for invalid response patterns [27, 28], and tested whether conclusions survived alternative specifications.</w:t>
      </w:r>
    </w:p>
    <w:bookmarkEnd w:id="21"/>
    <w:bookmarkEnd w:id="22"/>
    <w:bookmarkStart w:id="29" w:name="methods"/>
    <w:p>
      <w:pPr>
        <w:pStyle w:val="Heading1"/>
      </w:pPr>
      <w:r>
        <w:t xml:space="preserve">Methods</w:t>
      </w:r>
    </w:p>
    <w:bookmarkStart w:id="23" w:name="study-design-and-reporting"/>
    <w:p>
      <w:pPr>
        <w:pStyle w:val="Heading2"/>
      </w:pPr>
      <w:r>
        <w:t xml:space="preserve">Study design and reporting</w:t>
      </w:r>
    </w:p>
    <w:p>
      <w:pPr>
        <w:pStyle w:val="FirstParagraph"/>
      </w:pPr>
      <w:r>
        <w:t xml:space="preserve">This was a cross-sectional, web-based survey. Reporting follows the STROBE statement for cross-sectional studies [29] and the Checklist for Reporting Results of Internet E-Surveys (CHERRIES) [30] (Additional files 2 and 3).</w:t>
      </w:r>
    </w:p>
    <w:bookmarkEnd w:id="23"/>
    <w:bookmarkStart w:id="24" w:name="setting-and-participants"/>
    <w:p>
      <w:pPr>
        <w:pStyle w:val="Heading2"/>
      </w:pPr>
      <w:r>
        <w:t xml:space="preserve">Setting and participants</w:t>
      </w:r>
    </w:p>
    <w:p>
      <w:pPr>
        <w:pStyle w:val="FirstParagraph"/>
      </w:pPr>
      <w:r>
        <w:t xml:space="preserve">The target population was adults holding a managerial or supervisory role (for example team leader, department head, planner, coordinator or manager) in a health institution in Cairo Governorate. Eligible institutions included public and private hospitals, private health companies, Ministry of Health and Population directorates, and non-governmental organisations. No complete sampling frame of health-sector managers in Cairo is publicly available, so we used non-probability purposive sampling.</w:t>
      </w:r>
    </w:p>
    <w:bookmarkEnd w:id="24"/>
    <w:bookmarkStart w:id="25" w:name="data-collection"/>
    <w:p>
      <w:pPr>
        <w:pStyle w:val="Heading2"/>
      </w:pPr>
      <w:r>
        <w:t xml:space="preserve">Data collection</w:t>
      </w:r>
    </w:p>
    <w:p>
      <w:pPr>
        <w:pStyle w:val="FirstParagraph"/>
      </w:pPr>
      <w:r>
        <w:t xml:space="preserve">The questionnaire was administered with Google Forms between 14 June and 10 August 2025. The link was distributed through professional networks and health-sector groups on WhatsApp, LinkedIn and Facebook. Because the link was open, the number of people who saw the invitation, and hence a response rate, is unknown. Participation was voluntary and anonymous. No names, e-mail addresses or IP addresses were collected, and no incentives were offered. After the eligibility question, all questionnaire items were presented on a single page, and respondents could review and change their answers before submitting.</w:t>
      </w:r>
    </w:p>
    <w:p>
      <w:pPr>
        <w:pStyle w:val="BodyText"/>
      </w:pPr>
      <w:r>
        <w:t xml:space="preserve">The form opened with the study information and a consent statement. From 20 July 2025, a screening question asked respondents to confirm current employment in a managerial or supervisory role in Cairo’s health sector, and those answering</w:t>
      </w:r>
      <w:r>
        <w:t xml:space="preserve"> </w:t>
      </w:r>
      <w:r>
        <w:t xml:space="preserve">“</w:t>
      </w:r>
      <w:r>
        <w:t xml:space="preserve">No</w:t>
      </w:r>
      <w:r>
        <w:t xml:space="preserve">”</w:t>
      </w:r>
      <w:r>
        <w:t xml:space="preserve"> </w:t>
      </w:r>
      <w:r>
        <w:t xml:space="preserve">were routed out of the questionnaire. Respondents who submitted before that date (n = 74) were not screened. We retained them and repeated all analyses without them. Respondents did not need to sign in, so repeat submissions could not be prevented technically; we screened for them after data collection (see Data quality).</w:t>
      </w:r>
    </w:p>
    <w:bookmarkEnd w:id="25"/>
    <w:bookmarkStart w:id="26" w:name="measures"/>
    <w:p>
      <w:pPr>
        <w:pStyle w:val="Heading2"/>
      </w:pPr>
      <w:r>
        <w:t xml:space="preserve">Measures</w:t>
      </w:r>
    </w:p>
    <w:p>
      <w:pPr>
        <w:pStyle w:val="FirstParagraph"/>
      </w:pPr>
      <w:r>
        <w:t xml:space="preserve">The questionnaire was developed by the authors from the literature on strategic planning [20], capacity building [22] and health-system and organisational resilience [3, 10, 11]. It was reviewed by subject-matter experts for content and clarity and piloted before fielding. Every item was presented in English and Arabic (Additional file 1, Table S2), and all were rated from 1 (strongly disagree) to 7 (strongly agree).</w:t>
      </w:r>
    </w:p>
    <w:p>
      <w:pPr>
        <w:pStyle w:val="BodyText"/>
      </w:pPr>
      <w:r>
        <w:rPr>
          <w:iCs/>
          <w:i/>
        </w:rPr>
        <w:t xml:space="preserve">Strategic planning</w:t>
      </w:r>
      <w:r>
        <w:t xml:space="preserve"> </w:t>
      </w:r>
      <w:r>
        <w:t xml:space="preserve">(SP; 10 items) covered environmental threat assessment, use of structured tools (e.g., SWOT, PESTEL), consideration of environmental risks in prioritisation, multi-departmental input, regular updating, integration of preparedness into strategic documents, alignment with national strategies (Egypt Vision 2030 and the Sustainable Development Goals), coordination between crisis-management and planning teams, reflection of environmental risks in policy and budgets, and leadership support.</w:t>
      </w:r>
      <w:r>
        <w:t xml:space="preserve"> </w:t>
      </w:r>
      <w:r>
        <w:rPr>
          <w:iCs/>
          <w:i/>
        </w:rPr>
        <w:t xml:space="preserve">Capacity development</w:t>
      </w:r>
      <w:r>
        <w:t xml:space="preserve"> </w:t>
      </w:r>
      <w:r>
        <w:t xml:space="preserve">(CD; 5 items) covered staff training for environmental health emergencies, financial resources for preparedness, investment in climate- and health-related infrastructure and equipment, interdepartmental cooperation, and continuous development of planning and response capabilities.</w:t>
      </w:r>
      <w:r>
        <w:t xml:space="preserve"> </w:t>
      </w:r>
      <w:r>
        <w:rPr>
          <w:iCs/>
          <w:i/>
        </w:rPr>
        <w:t xml:space="preserve">Institutional resilience</w:t>
      </w:r>
      <w:r>
        <w:t xml:space="preserve"> </w:t>
      </w:r>
      <w:r>
        <w:t xml:space="preserve">(IR; 5 items) covered learning from previous crises, regular simulation drills, monitoring and evaluation of preparedness performance, use of feedback to update plans, and adaptation of operations and structures to emerging crises. Demographic items recorded gender, age group, organisation type and years of health-sector experience.</w:t>
      </w:r>
    </w:p>
    <w:bookmarkEnd w:id="26"/>
    <w:bookmarkStart w:id="27" w:name="data-quality"/>
    <w:p>
      <w:pPr>
        <w:pStyle w:val="Heading2"/>
      </w:pPr>
      <w:r>
        <w:t xml:space="preserve">Data quality</w:t>
      </w:r>
    </w:p>
    <w:p>
      <w:pPr>
        <w:pStyle w:val="FirstParagraph"/>
      </w:pPr>
      <w:r>
        <w:t xml:space="preserve">We pre-defined two response-quality flags.</w:t>
      </w:r>
      <w:r>
        <w:t xml:space="preserve"> </w:t>
      </w:r>
      <w:r>
        <w:rPr>
          <w:iCs/>
          <w:i/>
        </w:rPr>
        <w:t xml:space="preserve">Straight-lining</w:t>
      </w:r>
      <w:r>
        <w:t xml:space="preserve"> </w:t>
      </w:r>
      <w:r>
        <w:t xml:space="preserve">was defined as giving the same answer to all 20 items, a standard indicator of invariant responding [27, 28]. A</w:t>
      </w:r>
      <w:r>
        <w:t xml:space="preserve"> </w:t>
      </w:r>
      <w:r>
        <w:rPr>
          <w:iCs/>
          <w:i/>
        </w:rPr>
        <w:t xml:space="preserve">repeat profile</w:t>
      </w:r>
      <w:r>
        <w:t xml:space="preserve"> </w:t>
      </w:r>
      <w:r>
        <w:t xml:space="preserve">was a submission identical to an earlier one on every demographic field, the free-text job title and all 20 item responses. Job titles were used only for this check and were then deleted. Neither flag was used to exclude respondents from the primary analysis, because uniform high ratings may be genuine. Instead, every model was re-estimated in four samples: all respondents (N = 416), screened respondents (n = 342), respondents who did not straight-line (n = 207), and respondents whose profile was not a repeat (n = 255).</w:t>
      </w:r>
    </w:p>
    <w:bookmarkEnd w:id="27"/>
    <w:bookmarkStart w:id="28" w:name="statistical-analysis"/>
    <w:p>
      <w:pPr>
        <w:pStyle w:val="Heading2"/>
      </w:pPr>
      <w:r>
        <w:t xml:space="preserve">Statistical analysis</w:t>
      </w:r>
    </w:p>
    <w:p>
      <w:pPr>
        <w:pStyle w:val="FirstParagraph"/>
      </w:pPr>
      <w:r>
        <w:t xml:space="preserve">Scale scores were item means. We report means, standard deviations, the percentage of respondents at the maximum, Cronbach’s α and Pearson and Spearman correlations.</w:t>
      </w:r>
    </w:p>
    <w:p>
      <w:pPr>
        <w:pStyle w:val="BodyText"/>
      </w:pPr>
      <w:r>
        <w:rPr>
          <w:iCs/>
          <w:i/>
        </w:rPr>
        <w:t xml:space="preserve">Measurement model.</w:t>
      </w:r>
      <w:r>
        <w:t xml:space="preserve"> </w:t>
      </w:r>
      <w:r>
        <w:t xml:space="preserve">We estimated confirmatory factor analyses treating items as ordinal, using diagonally weighted least squares with robust standard errors and a mean- and variance-adjusted test statistic (WLSMV) [31] in lavaan 0.6-17 [32]. Response categories 1–4 were chosen by at most 3.6% of respondents on any item and were combined into one category so that thresholds could be estimated in every subsample. We compared one-factor, two-factor (capacity development and resilience combined) and three-factor models with scaled χ² difference tests. Fit was judged against CFI and TLI ≥ 0.95, RMSEA ≤ 0.06 and SRMR ≤ 0.08 [33]. Composite reliability (CR) and average variance extracted (AVE) were computed with semTools 0.5-6 [34]. Discriminant validity was assessed with latent correlations and their 95% confidence intervals, the heterotrait–monotrait ratio (HTMT) from polychoric correlations [35] and the Fornell–Larcker criterion [36], and interpreted following Rönkkö and Cho [26]. With 167 degrees of freedom, the power of the RMSEA test of close (0.05) versus mediocre (0.08) fit exceeded 0.99 in every sample [37].</w:t>
      </w:r>
    </w:p>
    <w:p>
      <w:pPr>
        <w:pStyle w:val="BodyText"/>
      </w:pPr>
      <w:r>
        <w:rPr>
          <w:iCs/>
          <w:i/>
        </w:rPr>
        <w:t xml:space="preserve">Structural model.</w:t>
      </w:r>
      <w:r>
        <w:t xml:space="preserve"> </w:t>
      </w:r>
      <w:r>
        <w:t xml:space="preserve">We estimated a latent mediation model (SP → CD → IR, with a direct SP → IR path) using WLSMV. Indirect and total effects were defined as products and sums of paths, and their 95% confidence intervals were obtained by the Monte Carlo method (20,000 draws). To check that the conclusions did not depend on the latent model, we estimated the same model by ordinary least squares on scale scores, with 95% percentile bootstrap confidence intervals (5,000 resamples) [38, 39]. It was estimated with and without adjustment for gender, age group (&lt;40, 40–49, ≥50 years), organisation type (private hospital versus other) and experience (&gt;15 versus ≤15 years).</w:t>
      </w:r>
    </w:p>
    <w:p>
      <w:pPr>
        <w:pStyle w:val="BodyText"/>
      </w:pPr>
      <w:r>
        <w:rPr>
          <w:iCs/>
          <w:i/>
        </w:rPr>
        <w:t xml:space="preserve">Common-method variance and alternative models.</w:t>
      </w:r>
      <w:r>
        <w:t xml:space="preserve"> </w:t>
      </w:r>
      <w:r>
        <w:t xml:space="preserve">We ran Harman’s single-factor test and compared fit with the one-factor CFA [24]. We also re-estimated the structural model with an added common latent method factor: all 20 items loaded equally on it, and it was uncorrelated with the substantive factors [25]. Because cross-sectional data cannot establish temporal order [40], we fitted two alternatives: a reverse-order model (SP → IR → CD) and a model in which a single</w:t>
      </w:r>
      <w:r>
        <w:t xml:space="preserve"> </w:t>
      </w:r>
      <w:r>
        <w:t xml:space="preserve">“</w:t>
      </w:r>
      <w:r>
        <w:t xml:space="preserve">preparedness capability</w:t>
      </w:r>
      <w:r>
        <w:t xml:space="preserve">”</w:t>
      </w:r>
      <w:r>
        <w:t xml:space="preserve"> </w:t>
      </w:r>
      <w:r>
        <w:t xml:space="preserve">factor replaced CD and IR.</w:t>
      </w:r>
    </w:p>
    <w:p>
      <w:pPr>
        <w:pStyle w:val="BodyText"/>
      </w:pPr>
      <w:r>
        <w:t xml:space="preserve">For all ordinal models, lavaan reported a smallest eigenvalue of the parameter covariance matrix of about −2 × 10⁻¹⁷, which is numerically zero; estimates were unchanged under the theta parameterisation. The method-factor model did not converge in the straight-liner-excluded sample and is reported for the full sample only. Analyses used R 4.3.3 (lavaan, semTools) and Python 3.13 (pandas, NumPy, SciPy, Matplotlib), with fixed random seeds. All code is publicly available (see Availability of data and materials).</w:t>
      </w:r>
    </w:p>
    <w:bookmarkEnd w:id="28"/>
    <w:bookmarkEnd w:id="29"/>
    <w:bookmarkStart w:id="36" w:name="results"/>
    <w:p>
      <w:pPr>
        <w:pStyle w:val="Heading1"/>
      </w:pPr>
      <w:r>
        <w:t xml:space="preserve">Results</w:t>
      </w:r>
    </w:p>
    <w:bookmarkStart w:id="30" w:name="participants"/>
    <w:p>
      <w:pPr>
        <w:pStyle w:val="Heading2"/>
      </w:pPr>
      <w:r>
        <w:t xml:space="preserve">Participants</w:t>
      </w:r>
    </w:p>
    <w:p>
      <w:pPr>
        <w:pStyle w:val="FirstParagraph"/>
      </w:pPr>
      <w:r>
        <w:t xml:space="preserve">Of 439 submissions, 23 respondents answered</w:t>
      </w:r>
      <w:r>
        <w:t xml:space="preserve"> </w:t>
      </w:r>
      <w:r>
        <w:t xml:space="preserve">“</w:t>
      </w:r>
      <w:r>
        <w:t xml:space="preserve">No</w:t>
      </w:r>
      <w:r>
        <w:t xml:space="preserve">”</w:t>
      </w:r>
      <w:r>
        <w:t xml:space="preserve"> </w:t>
      </w:r>
      <w:r>
        <w:t xml:space="preserve">to the eligibility question and were routed out before the questionnaire. This left 416 complete responses with no missing item data (Additional file 1, Table S1). Respondents were predominantly male (63.7%), aged 40–49 years (71.9%) and highly experienced (89.2% with more than 15 years in the health sector) (Table 1). Most worked in private hospitals (86.1%) or private health companies (9.4%). Public hospitals, governorate health directorates and NGOs together accounted for 3.1% of the sample.</w:t>
      </w:r>
    </w:p>
    <w:bookmarkEnd w:id="30"/>
    <w:bookmarkStart w:id="31" w:name="response-patterns"/>
    <w:p>
      <w:pPr>
        <w:pStyle w:val="Heading2"/>
      </w:pPr>
      <w:r>
        <w:t xml:space="preserve">Response patterns</w:t>
      </w:r>
    </w:p>
    <w:p>
      <w:pPr>
        <w:pStyle w:val="FirstParagraph"/>
      </w:pPr>
      <w:r>
        <w:t xml:space="preserve">Ratings were concentrated at the top of the scale (Fig. 2). Every item had a median of 7, and 65–91% of respondents chose 7 on each item. The highest agreement was for alignment with national strategies (91.3%). Half of the respondents (209; 50.2%) gave the same answer to all 20 items, 207 of them answering 7 throughout, and only 17 (4.1%) disagreed with any statement. In addition, 161 submissions (38.7%) were identical to an earlier submission on all demographic fields, job title and item responses. Most of these (152) were uniform maximum ratings from the most common profile (male, aged 40–49, private hospital, more than 15 years’ experience). Nine had identical varied answer patterns, which strongly suggests repeat submissions.</w:t>
      </w:r>
    </w:p>
    <w:bookmarkEnd w:id="31"/>
    <w:bookmarkStart w:id="32" w:name="descriptive-statistics"/>
    <w:p>
      <w:pPr>
        <w:pStyle w:val="Heading2"/>
      </w:pPr>
      <w:r>
        <w:t xml:space="preserve">Descriptive statistics</w:t>
      </w:r>
    </w:p>
    <w:p>
      <w:pPr>
        <w:pStyle w:val="FirstParagraph"/>
      </w:pPr>
      <w:r>
        <w:t xml:space="preserve">Scale means were close to the maximum for strategic planning (mean 6.75, SD 0.49), capacity development (6.70, SD 0.65) and institutional resilience (6.66, SD 0.70), and internal consistency was high (α = 0.93–0.94) (Table 2). Pearson correlations between scale scores were 0.87 (SP–CD), 0.84 (SP–IR) and 0.91 (CD–IR). Spearman correlations, which are less affected by tied maximum scores, were 0.73, 0.71 and 0.84. Among respondents who did not straight-line, means were lower (6.50, 6.41 and 6.32) and correlations were slightly weaker (0.83, 0.79 and 0.89).</w:t>
      </w:r>
    </w:p>
    <w:bookmarkEnd w:id="32"/>
    <w:bookmarkStart w:id="33" w:name="measurement-model"/>
    <w:p>
      <w:pPr>
        <w:pStyle w:val="Heading2"/>
      </w:pPr>
      <w:r>
        <w:t xml:space="preserve">Measurement model</w:t>
      </w:r>
    </w:p>
    <w:p>
      <w:pPr>
        <w:pStyle w:val="FirstParagraph"/>
      </w:pPr>
      <w:r>
        <w:t xml:space="preserve">The three-factor model fitted the data well (χ² = 274.4, df = 167; CFI = 0.996; TLI = 0.996; RMSEA = 0.039, 90% CI 0.031–0.048; SRMR = 0.029), with standardised loadings of 0.88–0.97 (Table 3). It fitted significantly better than the one-factor model (Δχ² = 68.7, Δdf = 3, P &lt; 0.001) and the two-factor model (Δχ² = 8.5, Δdf = 2, P = 0.015). Results were similar in every robustness sample. In the most conservative sample, which excluded straight-liners, fit remained acceptable (CFI = 0.988; RMSEA = 0.058; SRMR = 0.052) and loadings ranged from 0.71 to 0.95. CR (0.91–0.97) and AVE (0.71–0.92) exceeded conventional thresholds in all samples.</w:t>
      </w:r>
    </w:p>
    <w:p>
      <w:pPr>
        <w:pStyle w:val="BodyText"/>
      </w:pPr>
      <w:r>
        <w:t xml:space="preserve">Discriminant validity was weak. In the full sample, latent correlations were 0.92 (SP–CD; 95% CI 0.90–0.95), 0.91 (SP–IR; 0.87–0.94) and 0.97 (CD–IR; 0.96–0.99), with HTMT ratios of 0.93, 0.91 and 0.98. The squared CD–IR correlation exceeded the AVE of both constructs, so the Fornell–Larcker criterion was not met. Excluding straight-liners lowered the SP–CD and SP–IR correlations to 0.85 and 0.81, but the CD–IR correlation remained 0.94 (0.91–0.98). Under the Rönkkö and Cho guidelines [26], all three pairs indicate a moderate discriminant validity problem in the full sample. The capacity development–resilience pair, whose upper confidence limit approaches 1, is the most serious. The first unrotated component in Harman’s test explained 68% of item variance (62–70% across samples).</w:t>
      </w:r>
    </w:p>
    <w:bookmarkEnd w:id="33"/>
    <w:bookmarkStart w:id="34" w:name="structural-model-and-mediation"/>
    <w:p>
      <w:pPr>
        <w:pStyle w:val="Heading2"/>
      </w:pPr>
      <w:r>
        <w:t xml:space="preserve">Structural model and mediation</w:t>
      </w:r>
    </w:p>
    <w:p>
      <w:pPr>
        <w:pStyle w:val="FirstParagraph"/>
      </w:pPr>
      <w:r>
        <w:t xml:space="preserve">In the full sample (Fig. 1; Table 4), strategic planning was strongly associated with capacity development (a = 0.92, P &lt; 0.001; H1 supported). Capacity development was strongly associated with resilience when planning was held constant (b = 0.92, P &lt; 0.001; H2 supported). The direct association between planning and resilience was small and not significant (c′ = 0.06, P = 0.46; H3 not supported). The indirect effect was 0.84 (95% Monte Carlo CI 0.69–1.00), of a total effect of 0.91 (0.87–0.94); capacity development therefore accounted for nearly all of the association (H4 supported). The model explained 85% of the variance in capacity development and 95% in resilience.</w:t>
      </w:r>
    </w:p>
    <w:p>
      <w:pPr>
        <w:pStyle w:val="BodyText"/>
      </w:pPr>
      <w:r>
        <w:t xml:space="preserve">Observed-score regression gave the same pattern on the original 1–7 scale. A one-point difference in strategic planning was associated with a 0.92-point difference in resilience via capacity development (95% bootstrap CI 0.65–1.22), or 75% of the total association. The direct path was not significant (0.30; −0.01 to 0.58). Adjustment for gender, age group, organisation type and experience did not change the estimates materially (indirect 0.93; 0.65–1.28).</w:t>
      </w:r>
    </w:p>
    <w:bookmarkEnd w:id="34"/>
    <w:bookmarkStart w:id="35" w:name="robustness-and-alternative-models"/>
    <w:p>
      <w:pPr>
        <w:pStyle w:val="Heading2"/>
      </w:pPr>
      <w:r>
        <w:t xml:space="preserve">Robustness and alternative models</w:t>
      </w:r>
    </w:p>
    <w:p>
      <w:pPr>
        <w:pStyle w:val="FirstParagraph"/>
      </w:pPr>
      <w:r>
        <w:t xml:space="preserve">The indirect effect remained substantial and the direct effect remained non-significant in every robustness sample (Table 5). The indirect effect was 0.82 (0.65–0.98) among screened respondents, 0.77 (0.61–0.92) after excluding straight-liners and 0.81 (0.66–0.97) after excluding repeat profiles. The corresponding direct effects were 0.09, 0.05 and 0.04 (all P &gt; 0.30).</w:t>
      </w:r>
    </w:p>
    <w:p>
      <w:pPr>
        <w:pStyle w:val="BodyText"/>
      </w:pPr>
      <w:r>
        <w:t xml:space="preserve">Adding a common latent method factor improved fit slightly (χ² = 268.3, df = 166). The method factor was strong (mean standardised loading 0.78). With it in the model, the a path fell to 0.75 and the indirect effect to 0.69 (P &lt; 0.001), while the direct effect remained null (−0.01). The reverse-order model (SP → IR → CD) is statistically equivalent and reproduced the data exactly as well. In it, planning was associated with capacity development both through resilience (indirect 0.70) and directly (0.22, P = 0.002). Replacing CD and IR with a single combined factor gave a standardised SP → combined-factor path of 0.92 and slightly worse fit (χ² = 283.6, df = 169).</w:t>
      </w:r>
    </w:p>
    <w:bookmarkEnd w:id="35"/>
    <w:bookmarkEnd w:id="36"/>
    <w:bookmarkStart w:id="42" w:name="discussion"/>
    <w:p>
      <w:pPr>
        <w:pStyle w:val="Heading1"/>
      </w:pPr>
      <w:r>
        <w:t xml:space="preserve">Discussion</w:t>
      </w:r>
    </w:p>
    <w:bookmarkStart w:id="37" w:name="principal-findings"/>
    <w:p>
      <w:pPr>
        <w:pStyle w:val="Heading2"/>
      </w:pPr>
      <w:r>
        <w:t xml:space="preserve">Principal findings</w:t>
      </w:r>
    </w:p>
    <w:p>
      <w:pPr>
        <w:pStyle w:val="FirstParagraph"/>
      </w:pPr>
      <w:r>
        <w:t xml:space="preserve">In this survey of 416 health-sector managers in Cairo, those who reported more systematic, environment-aware strategic planning also reported much stronger capacity development and institutional resilience. Statistically, capacity development carried almost all of the planning–resilience association. This held for screened respondents, after excluding uniform and repeat responders, after adjusting for respondent characteristics, and after modelling a common-method factor. Our data also show that capacity development and resilience are barely separable as measured, and that an alternative causal ordering fits equally well. Both facts limit what the mediation result can mean.</w:t>
      </w:r>
    </w:p>
    <w:bookmarkEnd w:id="37"/>
    <w:bookmarkStart w:id="38" w:name="interpretation"/>
    <w:p>
      <w:pPr>
        <w:pStyle w:val="Heading2"/>
      </w:pPr>
      <w:r>
        <w:t xml:space="preserve">Interpretation</w:t>
      </w:r>
    </w:p>
    <w:p>
      <w:pPr>
        <w:pStyle w:val="FirstParagraph"/>
      </w:pPr>
      <w:r>
        <w:t xml:space="preserve">The dominance of the indirect path is consistent with capability-based accounts of resilience [10, 13, 23]. In these accounts, planning contributes to resilience when it mobilises resources: staff trained for environmental health emergencies, budgets earmarked for preparedness, climate-relevant infrastructure, and cooperation across departments. It also echoes lessons from Ebola and COVID-19 that preparedness on paper is a poor predictor of performance when the people, resources and coordination needed to act are missing [15, 17]. Strategic planning showed no detectable direct association with resilience once capacity was accounted for. This suggests that environmental risk assessments, SWOT or PESTEL exercises and alignment with Egypt Vision 2030 matter for resilience mainly insofar as they lead to resourced capacity-building.</w:t>
      </w:r>
    </w:p>
    <w:p>
      <w:pPr>
        <w:pStyle w:val="BodyText"/>
      </w:pPr>
      <w:r>
        <w:t xml:space="preserve">The near-collinearity of capacity development and resilience needs careful interpretation. Several resilience items describe activities, such as regular simulation drills, monitoring of preparedness performance and feeding lessons into plans, that are themselves forms of capacity development. Respondents may have perceived capacity-building and adaptive practice as one bundle of preparedness capabilities. The large b path therefore reflects construct overlap at least as much as a separable causal step. The equivalent fit of the reverse-order model reinforces this point. A cautious reading is that strategic planning is tightly coupled to an integrated set of capacity and adaptive practices, and that within this set the resource-oriented elements best account for planning’s association with resilience.</w:t>
      </w:r>
    </w:p>
    <w:bookmarkEnd w:id="38"/>
    <w:bookmarkStart w:id="39" w:name="implications-for-practice-and-policy"/>
    <w:p>
      <w:pPr>
        <w:pStyle w:val="Heading2"/>
      </w:pPr>
      <w:r>
        <w:t xml:space="preserve">Implications for practice and policy</w:t>
      </w:r>
    </w:p>
    <w:p>
      <w:pPr>
        <w:pStyle w:val="FirstParagraph"/>
      </w:pPr>
      <w:r>
        <w:t xml:space="preserve">Even with these caveats, the findings point to concrete targets. Health-facility managers and regulators should assess environmental preparedness by whether plans are followed by the capacities needed to act on them, not by whether plans exist. Those capacities include budget lines for environmental preparedness, documented staff training for environmental health emergencies, investment in climate-relevant equipment and infrastructure, and cooperation mechanisms across departments. These are also fundable, monitorable targets for climate-adaptation and health-system financing linked to SDG 3 and SDG 13, and they match the facility-level priorities in WHO guidance [3, 5]. Accreditation and inspection frameworks could require evidence of such capacities alongside planning documents.</w:t>
      </w:r>
    </w:p>
    <w:bookmarkEnd w:id="39"/>
    <w:bookmarkStart w:id="40" w:name="strengths-and-limitations"/>
    <w:p>
      <w:pPr>
        <w:pStyle w:val="Heading2"/>
      </w:pPr>
      <w:r>
        <w:t xml:space="preserve">Strengths and limitations</w:t>
      </w:r>
    </w:p>
    <w:p>
      <w:pPr>
        <w:pStyle w:val="FirstParagraph"/>
      </w:pPr>
      <w:r>
        <w:t xml:space="preserve">The study’s strengths are a purpose-built bilingual instrument, ordinal measurement models, transparent reporting of response quality, and a fully reproducible analysis pipeline from raw export to manuscript tables. Robustness was assessed across four samples, a common-method model and alternative causal orderings.</w:t>
      </w:r>
    </w:p>
    <w:p>
      <w:pPr>
        <w:pStyle w:val="BodyText"/>
      </w:pPr>
      <w:r>
        <w:t xml:space="preserve">The limitations are substantial. First, the cross-sectional, observational design means the mediation estimates describe associations consistent with the hypothesised sequence; they do not establish causal effects [40]. Reverse or reciprocal relations are equally compatible with the data. Second, all constructs were self-reported by the same respondents at the same time. The Harman and method-factor analyses indicate substantial shared method variance, which can inflate all associations [25, 41], even though the indirect effect survived a method-factor adjustment. Third, discriminant validity was weak, especially between capacity development and resilience. Fourth, ceiling responding was pervasive, and many submissions were uniform or repeated. Results were robust to excluding them, but this pattern reduces the information in the data and may reflect acquiescence or social desirability. Fifth, the purposive sample was dominated by experienced managers in private hospitals, and the open link precluded a response rate. Findings therefore cannot be generalised to public hospitals or Ministry of Health facilities, which together made up fewer than 4% of respondents. Finally, 74 early respondents were not formally screened, although excluding them did not change the results.</w:t>
      </w:r>
    </w:p>
    <w:bookmarkEnd w:id="40"/>
    <w:bookmarkStart w:id="41" w:name="future-research"/>
    <w:p>
      <w:pPr>
        <w:pStyle w:val="Heading2"/>
      </w:pPr>
      <w:r>
        <w:t xml:space="preserve">Future research</w:t>
      </w:r>
    </w:p>
    <w:p>
      <w:pPr>
        <w:pStyle w:val="FirstParagraph"/>
      </w:pPr>
      <w:r>
        <w:t xml:space="preserve">Future studies should recruit matched public and private samples with several respondents per institution, and should separate respondents who rate planning from those who rate outcomes. Resilience should be anchored in objective indicators that capacity items do not describe, such as service continuity, recovery time, staff absence or patient-safety incidents during recorded heatwaves, power cuts or floods. Item wording should be revised to separate capacity inputs from adaptive practices. Survey platforms should enforce one response per respondent and include attention checks. Longitudinal or quasi-experimental designs, for example evaluations of preparedness-budget or training interventions, would allow the planning–capacity–resilience sequence to be tested over time.</w:t>
      </w:r>
    </w:p>
    <w:bookmarkEnd w:id="41"/>
    <w:bookmarkEnd w:id="42"/>
    <w:bookmarkStart w:id="43" w:name="conclusions"/>
    <w:p>
      <w:pPr>
        <w:pStyle w:val="Heading1"/>
      </w:pPr>
      <w:r>
        <w:t xml:space="preserve">Conclusions</w:t>
      </w:r>
    </w:p>
    <w:p>
      <w:pPr>
        <w:pStyle w:val="FirstParagraph"/>
      </w:pPr>
      <w:r>
        <w:t xml:space="preserve">In Cairo’s health sector, managers who reported environment-aware strategic planning also reported stronger institutional resilience, and this association ran almost entirely through capacity development. The pattern was robust across samples and specifications. The cross-sectional, single-source design and the empirical overlap between capacity and resilience mean that the findings identify priorities rather than prove a causal pathway. Turning environmental crisis plans into training, earmarked resources, climate-relevant infrastructure and interdepartmental cooperation appears to be where planning pays off. Multi-source, longitudinal research with objective outcome measures is needed to confirm it.</w:t>
      </w:r>
    </w:p>
    <w:bookmarkEnd w:id="43"/>
    <w:bookmarkStart w:id="44" w:name="abbreviations"/>
    <w:p>
      <w:pPr>
        <w:pStyle w:val="Heading1"/>
      </w:pPr>
      <w:r>
        <w:t xml:space="preserve">Abbreviations</w:t>
      </w:r>
    </w:p>
    <w:p>
      <w:pPr>
        <w:pStyle w:val="FirstParagraph"/>
      </w:pPr>
      <w:r>
        <w:t xml:space="preserve">AVE: average variance extracted; CD: capacity development; CFA: confirmatory factor analysis; CFI: comparative fit index; CHERRIES: Checklist for Reporting Results of Internet E-Surveys; CI: confidence interval; CR: composite reliability; HTMT: heterotrait–monotrait ratio; IR: institutional resilience; NGO: non-governmental organisation; RMSEA: root mean square error of approximation; SD: standard deviation; SDG: Sustainable Development Goal; SP: strategic planning; SRMR: standardised root mean square residual; STROBE: Strengthening the Reporting of Observational Studies in Epidemiology; TLI: Tucker–Lewis index; WLSMV: weighted least squares, mean- and variance-adjusted.</w:t>
      </w:r>
    </w:p>
    <w:bookmarkEnd w:id="44"/>
    <w:bookmarkStart w:id="52" w:name="declarations"/>
    <w:p>
      <w:pPr>
        <w:pStyle w:val="Heading1"/>
      </w:pPr>
      <w:r>
        <w:t xml:space="preserve">Declarations</w:t>
      </w:r>
    </w:p>
    <w:bookmarkStart w:id="45" w:name="Xd182db0490b2de20bd2b4e4cc8698599182035f"/>
    <w:p>
      <w:pPr>
        <w:pStyle w:val="Heading2"/>
      </w:pPr>
      <w:r>
        <w:t xml:space="preserve">Ethics approval and consent to participate</w:t>
      </w:r>
    </w:p>
    <w:p>
      <w:pPr>
        <w:pStyle w:val="FirstParagraph"/>
      </w:pPr>
      <w:r>
        <w:t xml:space="preserve">The study was approved by the Research Ethics Committee of the Environmental Studies &amp; Research Institute (ESRI), University of Sadat City, Egypt (approval number REC/ESRI/USC/10/20-05-2025, 20 May 2025). The protocol was approved according to the regulations of the Research Ethics Committee, and data collection began after approval. The online questionnaire opened with the study information and a consent statement, and informed consent was obtained from all participants before they answered any questions. Participation was voluntary and anonymous.</w:t>
      </w:r>
    </w:p>
    <w:bookmarkEnd w:id="45"/>
    <w:bookmarkStart w:id="46" w:name="consent-for-publication"/>
    <w:p>
      <w:pPr>
        <w:pStyle w:val="Heading2"/>
      </w:pPr>
      <w:r>
        <w:t xml:space="preserve">Consent for publication</w:t>
      </w:r>
    </w:p>
    <w:p>
      <w:pPr>
        <w:pStyle w:val="FirstParagraph"/>
      </w:pPr>
      <w:r>
        <w:t xml:space="preserve">Not applicable.</w:t>
      </w:r>
    </w:p>
    <w:bookmarkEnd w:id="46"/>
    <w:bookmarkStart w:id="47" w:name="availability-of-data-and-materials"/>
    <w:p>
      <w:pPr>
        <w:pStyle w:val="Heading2"/>
      </w:pPr>
      <w:r>
        <w:t xml:space="preserve">Availability of data and materials</w:t>
      </w:r>
    </w:p>
    <w:p>
      <w:pPr>
        <w:pStyle w:val="FirstParagraph"/>
      </w:pPr>
      <w:r>
        <w:t xml:space="preserve">The anonymised analytic dataset is available at https://github.com/A2022KR/strategic-planning-resilience-egypt, together with the codebook (including English and Arabic item wording), all analysis code and all output tables. In the shared dataset, timestamps, job titles and free-text fields are removed and demographics are coarsened. The raw survey export is not publicly available because it contains potentially identifying information; it is available from the corresponding author on reasonable request, subject to ethics committee approval.</w:t>
      </w:r>
    </w:p>
    <w:bookmarkEnd w:id="47"/>
    <w:bookmarkStart w:id="48" w:name="competing-interests"/>
    <w:p>
      <w:pPr>
        <w:pStyle w:val="Heading2"/>
      </w:pPr>
      <w:r>
        <w:t xml:space="preserve">Competing interests</w:t>
      </w:r>
    </w:p>
    <w:p>
      <w:pPr>
        <w:pStyle w:val="FirstParagraph"/>
      </w:pPr>
      <w:r>
        <w:t xml:space="preserve">The authors declare that they have no competing interests.</w:t>
      </w:r>
    </w:p>
    <w:bookmarkEnd w:id="48"/>
    <w:bookmarkStart w:id="49"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49"/>
    <w:bookmarkStart w:id="50" w:name="authors-contributions"/>
    <w:p>
      <w:pPr>
        <w:pStyle w:val="Heading2"/>
      </w:pPr>
      <w:r>
        <w:t xml:space="preserve">Authors’ contributions</w:t>
      </w:r>
    </w:p>
    <w:p>
      <w:pPr>
        <w:pStyle w:val="FirstParagraph"/>
      </w:pPr>
      <w:r>
        <w:t xml:space="preserve">AH: conceptualisation, methodology, questionnaire development, investigation (data collection), data curation, formal analysis, visualisation, writing (original draft). MSA: supervision, methodology, validation, writing (review and editing). Both authors read and approved the final manuscript.</w:t>
      </w:r>
    </w:p>
    <w:bookmarkEnd w:id="50"/>
    <w:bookmarkStart w:id="51" w:name="acknowledgements"/>
    <w:p>
      <w:pPr>
        <w:pStyle w:val="Heading2"/>
      </w:pPr>
      <w:r>
        <w:t xml:space="preserve">Acknowledgements</w:t>
      </w:r>
    </w:p>
    <w:p>
      <w:pPr>
        <w:pStyle w:val="FirstParagraph"/>
      </w:pPr>
      <w:r>
        <w:t xml:space="preserve">We thank the health-sector professionals who took part in the survey and the subject-matter experts who reviewed the questionnaire. An AI assistant (Claude, Anthropic) was used to audit and re-run the analysis code and to edit the manuscript text. The authors reviewed all outputs and take full responsibility for the content.</w:t>
      </w:r>
    </w:p>
    <w:bookmarkEnd w:id="51"/>
    <w:bookmarkEnd w:id="52"/>
    <w:bookmarkStart w:id="53" w:name="references"/>
    <w:p>
      <w:pPr>
        <w:pStyle w:val="Heading1"/>
      </w:pPr>
      <w:r>
        <w:t xml:space="preserve">References</w:t>
      </w:r>
    </w:p>
    <w:p>
      <w:pPr>
        <w:numPr>
          <w:ilvl w:val="0"/>
          <w:numId w:val="1002"/>
        </w:numPr>
        <w:pStyle w:val="Compact"/>
      </w:pPr>
      <w:r>
        <w:t xml:space="preserve">Romanello M, Di Napoli C, Green C, Kennard H, Lampard P, Scamman D, et al. The 2023 report of the Lancet Countdown on health and climate change: the imperative for a health-centred response in a world facing irreversible harms. Lancet. 2023;402(10419):2346–94. https://doi.org/10.1016/S0140-6736(23)01859-7</w:t>
      </w:r>
    </w:p>
    <w:p>
      <w:pPr>
        <w:numPr>
          <w:ilvl w:val="0"/>
          <w:numId w:val="1002"/>
        </w:numPr>
        <w:pStyle w:val="Compact"/>
      </w:pPr>
      <w:r>
        <w:t xml:space="preserve">World Health Organization. Operational framework for building climate resilient health systems. Geneva: World Health Organization; 2015.</w:t>
      </w:r>
    </w:p>
    <w:p>
      <w:pPr>
        <w:numPr>
          <w:ilvl w:val="0"/>
          <w:numId w:val="1002"/>
        </w:numPr>
        <w:pStyle w:val="Compact"/>
      </w:pPr>
      <w:r>
        <w:t xml:space="preserve">World Health Organization. Operational framework for building climate resilient and low carbon health systems. Geneva: World Health Organization; 2023. https://www.who.int/publications/i/item/9789240081888</w:t>
      </w:r>
    </w:p>
    <w:p>
      <w:pPr>
        <w:numPr>
          <w:ilvl w:val="0"/>
          <w:numId w:val="1002"/>
        </w:numPr>
        <w:pStyle w:val="Compact"/>
      </w:pPr>
      <w:r>
        <w:t xml:space="preserve">United Nations Office for Disaster Risk Reduction. Sendai Framework for Disaster Risk Reduction 2015–2030. Geneva: UNISDR; 2015. https://www.undrr.org/publication/sendai-framework-disaster-risk-reduction-2015-2030</w:t>
      </w:r>
    </w:p>
    <w:p>
      <w:pPr>
        <w:numPr>
          <w:ilvl w:val="0"/>
          <w:numId w:val="1002"/>
        </w:numPr>
        <w:pStyle w:val="Compact"/>
      </w:pPr>
      <w:r>
        <w:t xml:space="preserve">Corvalan C, Villalobos Prats E, Sena A, Campbell-Lendrum D, Karliner J, Risso A, et al. Towards climate resilient and environmentally sustainable health care facilities. Int J Environ Res Public Health. 2020;17(23):8849. https://doi.org/10.3390/ijerph17238849</w:t>
      </w:r>
    </w:p>
    <w:p>
      <w:pPr>
        <w:numPr>
          <w:ilvl w:val="0"/>
          <w:numId w:val="1002"/>
        </w:numPr>
        <w:pStyle w:val="Compact"/>
      </w:pPr>
      <w:r>
        <w:t xml:space="preserve">Ministry of Environment, Arab Republic of Egypt. Egypt National Climate Change Strategy (NCCS) 2050. Cairo: Ministry of Environment; 2022. https://faolex.fao.org/docs/pdf/egy213202E.pdf</w:t>
      </w:r>
    </w:p>
    <w:p>
      <w:pPr>
        <w:numPr>
          <w:ilvl w:val="0"/>
          <w:numId w:val="1002"/>
        </w:numPr>
        <w:pStyle w:val="Compact"/>
      </w:pPr>
      <w:r>
        <w:t xml:space="preserve">Mostafa AN, Alfaro SC, Robaa SM, Zakey AS, Abdel Wahab MM. Heatwaves and their impact on air quality in Greater Cairo, Egypt. Atmosphere. 2024;15(6):637. https://doi.org/10.3390/atmos15060637</w:t>
      </w:r>
    </w:p>
    <w:p>
      <w:pPr>
        <w:numPr>
          <w:ilvl w:val="0"/>
          <w:numId w:val="1002"/>
        </w:numPr>
        <w:pStyle w:val="Compact"/>
      </w:pPr>
      <w:r>
        <w:t xml:space="preserve">Abd El Ghaffar MM, Salem MR, Al Soda MF, Abd El Razik MS, et al. COVID-19 pandemic preparedness in Egypt’s teaching hospitals: a needs assessment study. Front Public Health. 2022;9:748666. https://doi.org/10.3389/fpubh.2021.748666</w:t>
      </w:r>
    </w:p>
    <w:p>
      <w:pPr>
        <w:numPr>
          <w:ilvl w:val="0"/>
          <w:numId w:val="1002"/>
        </w:numPr>
        <w:pStyle w:val="Compact"/>
      </w:pPr>
      <w:r>
        <w:t xml:space="preserve">Hamza A, Elemam WE, Abousekken MS. The role of strategic planning in environmental crisis management: article review and case study. Int J Environ Stud Res. 2023;2(4):85–104. https://doi.org/10.21608/ijesr.2023.346718</w:t>
      </w:r>
    </w:p>
    <w:p>
      <w:pPr>
        <w:numPr>
          <w:ilvl w:val="0"/>
          <w:numId w:val="1002"/>
        </w:numPr>
        <w:pStyle w:val="Compact"/>
      </w:pPr>
      <w:r>
        <w:t xml:space="preserve">Duchek S. Organizational resilience: a capability-based conceptualization. Bus Res. 2020;13(1):215–46. https://doi.org/10.1007/s40685-019-0085-7</w:t>
      </w:r>
    </w:p>
    <w:p>
      <w:pPr>
        <w:numPr>
          <w:ilvl w:val="0"/>
          <w:numId w:val="1002"/>
        </w:numPr>
        <w:pStyle w:val="Compact"/>
      </w:pPr>
      <w:r>
        <w:t xml:space="preserve">Barasa E, Mbau R, Gilson L. What is resilience and how can it be nurtured? A systematic review of empirical literature on organizational resilience. Int J Health Policy Manag. 2018;7(6):491–503. https://doi.org/10.15171/ijhpm.2018.06</w:t>
      </w:r>
    </w:p>
    <w:p>
      <w:pPr>
        <w:numPr>
          <w:ilvl w:val="0"/>
          <w:numId w:val="1002"/>
        </w:numPr>
        <w:pStyle w:val="Compact"/>
      </w:pPr>
      <w:r>
        <w:t xml:space="preserve">Wiig S, Aase K, Billett S, Canfield C, Røise O, Njå O, et al. Defining the boundaries and operational concepts of resilience in the resilience in healthcare research program. BMC Health Serv Res. 2020;20:330. https://doi.org/10.1186/s12913-020-05224-3</w:t>
      </w:r>
    </w:p>
    <w:p>
      <w:pPr>
        <w:numPr>
          <w:ilvl w:val="0"/>
          <w:numId w:val="1002"/>
        </w:numPr>
        <w:pStyle w:val="Compact"/>
      </w:pPr>
      <w:r>
        <w:t xml:space="preserve">Teece DJ, Pisano G, Shuen A. Dynamic capabilities and strategic management. Strateg Manag J. 1997;18(7):509–33. https://doi.org/10.1002/(SICI)1097-0266(199708)18:7&lt;509::AID-SMJ882&gt;3.0.CO;2-Z</w:t>
      </w:r>
    </w:p>
    <w:p>
      <w:pPr>
        <w:numPr>
          <w:ilvl w:val="0"/>
          <w:numId w:val="1002"/>
        </w:numPr>
        <w:pStyle w:val="Compact"/>
      </w:pPr>
      <w:r>
        <w:t xml:space="preserve">Mishra S, Sharma A, Shivhare A, Srivastava M. Key drivers of organizational resilience in healthcare: a dynamic capabilities perspective. J Health Organ Manag. 2026;40(7):1462–75. https://doi.org/10.1108/JHOM-06-2025-0354</w:t>
      </w:r>
    </w:p>
    <w:p>
      <w:pPr>
        <w:numPr>
          <w:ilvl w:val="0"/>
          <w:numId w:val="1002"/>
        </w:numPr>
        <w:pStyle w:val="Compact"/>
      </w:pPr>
      <w:r>
        <w:t xml:space="preserve">Kruk ME, Myers M, Varpilah ST, Dahn BT. What is a resilient health system? Lessons from Ebola. Lancet. 2015;385(9980):1910–2. https://doi.org/10.1016/S0140-6736(15)60755-3</w:t>
      </w:r>
    </w:p>
    <w:p>
      <w:pPr>
        <w:numPr>
          <w:ilvl w:val="0"/>
          <w:numId w:val="1002"/>
        </w:numPr>
        <w:pStyle w:val="Compact"/>
      </w:pPr>
      <w:r>
        <w:t xml:space="preserve">Hanefeld J, Mayhew S, Legido-Quigley H, Martineau F, Karanikolos M, Blanchet K, et al. Towards an understanding of resilience: responding to health systems shocks. Health Policy Plan. 2018;33(3):355–67. https://doi.org/10.1093/heapol/czx183</w:t>
      </w:r>
    </w:p>
    <w:p>
      <w:pPr>
        <w:numPr>
          <w:ilvl w:val="0"/>
          <w:numId w:val="1002"/>
        </w:numPr>
        <w:pStyle w:val="Compact"/>
      </w:pPr>
      <w:r>
        <w:t xml:space="preserve">Haldane V, De Foo C, Abdalla SM, et al. Health systems resilience in managing the COVID-19 pandemic: lessons from 28 countries. Nat Med. 2021;27(6):964–80. https://doi.org/10.1038/s41591-021-01381-y</w:t>
      </w:r>
    </w:p>
    <w:p>
      <w:pPr>
        <w:numPr>
          <w:ilvl w:val="0"/>
          <w:numId w:val="1002"/>
        </w:numPr>
        <w:pStyle w:val="Compact"/>
      </w:pPr>
      <w:r>
        <w:t xml:space="preserve">Fallah-Aliabadi S, Ostadtaghizadeh A, Ardalan A, Fatemi F, Khazai B, Mirjalili MR. Towards developing a model for the evaluation of hospital disaster resilience: a systematic review. BMC Health Serv Res. 2020;20:64. https://doi.org/10.1186/s12913-020-4915-2</w:t>
      </w:r>
    </w:p>
    <w:p>
      <w:pPr>
        <w:numPr>
          <w:ilvl w:val="0"/>
          <w:numId w:val="1002"/>
        </w:numPr>
        <w:pStyle w:val="Compact"/>
      </w:pPr>
      <w:r>
        <w:t xml:space="preserve">Ansell C, Boin A, Keller A. Managing transboundary crises: identifying the building blocks of an effective response system. J Contingencies Crisis Manag. 2010;18(4):195–207. https://doi.org/10.1111/j.1468-5973.2010.00620.x</w:t>
      </w:r>
    </w:p>
    <w:p>
      <w:pPr>
        <w:numPr>
          <w:ilvl w:val="0"/>
          <w:numId w:val="1002"/>
        </w:numPr>
        <w:pStyle w:val="Compact"/>
      </w:pPr>
      <w:r>
        <w:t xml:space="preserve">Bryson JM. Strategic planning for public and nonprofit organizations. 5th ed. Hoboken (NJ): Wiley; 2018.</w:t>
      </w:r>
    </w:p>
    <w:p>
      <w:pPr>
        <w:numPr>
          <w:ilvl w:val="0"/>
          <w:numId w:val="1002"/>
        </w:numPr>
        <w:pStyle w:val="Compact"/>
      </w:pPr>
      <w:r>
        <w:t xml:space="preserve">Salvador M, Sancho D. Institutional capacities and urban management: Barcelona and the COVID-19 crisis. Urban Gov. 2025;5(2):256–65. https://doi.org/10.1016/j.ugj.2025.05.001</w:t>
      </w:r>
    </w:p>
    <w:p>
      <w:pPr>
        <w:numPr>
          <w:ilvl w:val="0"/>
          <w:numId w:val="1002"/>
        </w:numPr>
        <w:pStyle w:val="Compact"/>
      </w:pPr>
      <w:r>
        <w:t xml:space="preserve">Potter C, Brough R. Systemic capacity building: a hierarchy of needs. Health Policy Plan. 2004;19(5):336–45. https://doi.org/10.1093/heapol/czh038</w:t>
      </w:r>
    </w:p>
    <w:p>
      <w:pPr>
        <w:numPr>
          <w:ilvl w:val="0"/>
          <w:numId w:val="1002"/>
        </w:numPr>
        <w:pStyle w:val="Compact"/>
      </w:pPr>
      <w:r>
        <w:t xml:space="preserve">Lengnick-Hall CA, Beck TE, Lengnick-Hall ML. Developing a capacity for organizational resilience through strategic human resource management. Hum Resour Manag Rev. 2011;21(3):243–55. https://doi.org/10.1016/j.hrmr.2010.07.001</w:t>
      </w:r>
    </w:p>
    <w:p>
      <w:pPr>
        <w:numPr>
          <w:ilvl w:val="0"/>
          <w:numId w:val="1002"/>
        </w:numPr>
        <w:pStyle w:val="Compact"/>
      </w:pPr>
      <w:r>
        <w:t xml:space="preserve">Podsakoff PM, MacKenzie SB, Lee JY, Podsakoff NP. Common method biases in behavioral research: a critical review of the literature and recommended remedies. J Appl Psychol. 2003;88(5):879–903. https://doi.org/10.1037/0021-9010.88.5.879</w:t>
      </w:r>
    </w:p>
    <w:p>
      <w:pPr>
        <w:numPr>
          <w:ilvl w:val="0"/>
          <w:numId w:val="1002"/>
        </w:numPr>
        <w:pStyle w:val="Compact"/>
      </w:pPr>
      <w:r>
        <w:t xml:space="preserve">Podsakoff PM, MacKenzie SB, Podsakoff NP. Sources of method bias in social science research and recommendations on how to control it. Annu Rev Psychol. 2012;63:539–69. https://doi.org/10.1146/annurev-psych-120710-100452</w:t>
      </w:r>
    </w:p>
    <w:p>
      <w:pPr>
        <w:numPr>
          <w:ilvl w:val="0"/>
          <w:numId w:val="1002"/>
        </w:numPr>
        <w:pStyle w:val="Compact"/>
      </w:pPr>
      <w:r>
        <w:t xml:space="preserve">Rönkkö M, Cho E. An updated guideline for assessing discriminant validity. Organ Res Methods. 2022;25(1):6–14. https://doi.org/10.1177/1094428120968614</w:t>
      </w:r>
    </w:p>
    <w:p>
      <w:pPr>
        <w:numPr>
          <w:ilvl w:val="0"/>
          <w:numId w:val="1002"/>
        </w:numPr>
        <w:pStyle w:val="Compact"/>
      </w:pPr>
      <w:r>
        <w:t xml:space="preserve">Curran PG. Methods for the detection of carelessly invalid responses in survey data. J Exp Soc Psychol. 2016;66:4–19. https://doi.org/10.1016/j.jesp.2015.07.006</w:t>
      </w:r>
    </w:p>
    <w:p>
      <w:pPr>
        <w:numPr>
          <w:ilvl w:val="0"/>
          <w:numId w:val="1002"/>
        </w:numPr>
        <w:pStyle w:val="Compact"/>
      </w:pPr>
      <w:r>
        <w:t xml:space="preserve">Meade AW, Craig SB. Identifying careless responses in survey data. Psychol Methods. 2012;17(3):437–55. https://doi.org/10.1037/a0028085</w:t>
      </w:r>
    </w:p>
    <w:p>
      <w:pPr>
        <w:numPr>
          <w:ilvl w:val="0"/>
          <w:numId w:val="1002"/>
        </w:numPr>
        <w:pStyle w:val="Compact"/>
      </w:pPr>
      <w:r>
        <w:t xml:space="preserve">von Elm E, Altman DG, Egger M, Pocock SJ, Gøtzsche PC, Vandenbroucke JP. The Strengthening the Reporting of Observational Studies in Epidemiology (STROBE) statement: guidelines for reporting observational studies. Lancet. 2007;370(9596):1453–7. https://doi.org/10.1016/S0140-6736(07)61602-X</w:t>
      </w:r>
    </w:p>
    <w:p>
      <w:pPr>
        <w:numPr>
          <w:ilvl w:val="0"/>
          <w:numId w:val="1002"/>
        </w:numPr>
        <w:pStyle w:val="Compact"/>
      </w:pPr>
      <w:r>
        <w:t xml:space="preserve">Eysenbach G. Improving the quality of web surveys: the Checklist for Reporting Results of Internet E-Surveys (CHERRIES). J Med Internet Res. 2004;6(3):e34. https://doi.org/10.2196/jmir.6.3.e34</w:t>
      </w:r>
    </w:p>
    <w:p>
      <w:pPr>
        <w:numPr>
          <w:ilvl w:val="0"/>
          <w:numId w:val="1002"/>
        </w:numPr>
        <w:pStyle w:val="Compact"/>
      </w:pPr>
      <w:r>
        <w:t xml:space="preserve">Li CH. Confirmatory factor analysis with ordinal data: comparing robust maximum likelihood and diagonally weighted least squares. Behav Res Methods. 2016;48(3):936–49. https://doi.org/10.3758/s13428-015-0619-7</w:t>
      </w:r>
    </w:p>
    <w:p>
      <w:pPr>
        <w:numPr>
          <w:ilvl w:val="0"/>
          <w:numId w:val="1002"/>
        </w:numPr>
        <w:pStyle w:val="Compact"/>
      </w:pPr>
      <w:r>
        <w:t xml:space="preserve">Rosseel Y. lavaan: an R package for structural equation modeling. J Stat Softw. 2012;48(2):1–36. https://doi.org/10.18637/jss.v048.i02</w:t>
      </w:r>
    </w:p>
    <w:p>
      <w:pPr>
        <w:numPr>
          <w:ilvl w:val="0"/>
          <w:numId w:val="1002"/>
        </w:numPr>
        <w:pStyle w:val="Compact"/>
      </w:pPr>
      <w:r>
        <w:t xml:space="preserve">Hu LT, Bentler PM. Cutoff criteria for fit indexes in covariance structure analysis: conventional criteria versus new alternatives. Struct Equ Modeling. 1999;6(1):1–55. https://doi.org/10.1080/10705519909540118</w:t>
      </w:r>
    </w:p>
    <w:p>
      <w:pPr>
        <w:numPr>
          <w:ilvl w:val="0"/>
          <w:numId w:val="1002"/>
        </w:numPr>
        <w:pStyle w:val="Compact"/>
      </w:pPr>
      <w:r>
        <w:t xml:space="preserve">Jorgensen TD, Pornprasertmanit S, Schoemann AM, Rosseel Y. semTools: useful tools for structural equation modeling. R package version 0.5-6; 2022. https://CRAN.R-project.org/package=semTools</w:t>
      </w:r>
    </w:p>
    <w:p>
      <w:pPr>
        <w:numPr>
          <w:ilvl w:val="0"/>
          <w:numId w:val="1002"/>
        </w:numPr>
        <w:pStyle w:val="Compact"/>
      </w:pPr>
      <w:r>
        <w:t xml:space="preserve">Henseler J, Ringle CM, Sarstedt M. A new criterion for assessing discriminant validity in variance-based structural equation modeling. J Acad Mark Sci. 2015;43(1):115–35. https://doi.org/10.1007/s11747-014-0403-8</w:t>
      </w:r>
    </w:p>
    <w:p>
      <w:pPr>
        <w:numPr>
          <w:ilvl w:val="0"/>
          <w:numId w:val="1002"/>
        </w:numPr>
        <w:pStyle w:val="Compact"/>
      </w:pPr>
      <w:r>
        <w:t xml:space="preserve">Fornell C, Larcker DF. Evaluating structural equation models with unobservable variables and measurement error. J Mark Res. 1981;18(1):39–50. https://doi.org/10.1177/002224378101800104</w:t>
      </w:r>
    </w:p>
    <w:p>
      <w:pPr>
        <w:numPr>
          <w:ilvl w:val="0"/>
          <w:numId w:val="1002"/>
        </w:numPr>
        <w:pStyle w:val="Compact"/>
      </w:pPr>
      <w:r>
        <w:t xml:space="preserve">MacCallum RC, Browne MW, Sugawara HM. Power analysis and determination of sample size for covariance structure modeling. Psychol Methods. 1996;1(2):130–49. https://doi.org/10.1037/1082-989X.1.2.130</w:t>
      </w:r>
    </w:p>
    <w:p>
      <w:pPr>
        <w:numPr>
          <w:ilvl w:val="0"/>
          <w:numId w:val="1002"/>
        </w:numPr>
        <w:pStyle w:val="Compact"/>
      </w:pPr>
      <w:r>
        <w:t xml:space="preserve">Hayes AF. Introduction to mediation, moderation, and conditional process analysis: a regression-based approach. 3rd ed. New York: Guilford Press; 2022.</w:t>
      </w:r>
    </w:p>
    <w:p>
      <w:pPr>
        <w:numPr>
          <w:ilvl w:val="0"/>
          <w:numId w:val="1002"/>
        </w:numPr>
        <w:pStyle w:val="Compact"/>
      </w:pPr>
      <w:r>
        <w:t xml:space="preserve">Zhao X, Lynch JG Jr, Chen Q. Reconsidering Baron and Kenny: myths and truths about mediation analysis. J Consum Res. 2010;37(2):197–206. https://doi.org/10.1086/651257</w:t>
      </w:r>
    </w:p>
    <w:p>
      <w:pPr>
        <w:numPr>
          <w:ilvl w:val="0"/>
          <w:numId w:val="1002"/>
        </w:numPr>
        <w:pStyle w:val="Compact"/>
      </w:pPr>
      <w:r>
        <w:t xml:space="preserve">Maxwell SE, Cole DA. Bias in cross-sectional analyses of longitudinal mediation. Psychol Methods. 2007;12(1):23–44. https://doi.org/10.1037/1082-989X.12.1.23</w:t>
      </w:r>
    </w:p>
    <w:p>
      <w:pPr>
        <w:numPr>
          <w:ilvl w:val="0"/>
          <w:numId w:val="1002"/>
        </w:numPr>
        <w:pStyle w:val="Compact"/>
      </w:pPr>
      <w:r>
        <w:t xml:space="preserve">Spector PE. Method variance in organizational research: truth or urban legend? Organ Res Methods. 2006;9(2):221–32. https://doi.org/10.1177/1094428105284955</w:t>
      </w:r>
    </w:p>
    <w:bookmarkEnd w:id="53"/>
    <w:bookmarkStart w:id="60" w:name="figures"/>
    <w:p>
      <w:pPr>
        <w:pStyle w:val="Heading1"/>
      </w:pPr>
      <w:r>
        <w:t xml:space="preserve">Figures</w:t>
      </w:r>
    </w:p>
    <w:p>
      <w:pPr>
        <w:pStyle w:val="FirstParagraph"/>
      </w:pPr>
      <w:r>
        <w:drawing>
          <wp:inline>
            <wp:extent cx="5302908" cy="2229423"/>
            <wp:effectExtent b="0" l="0" r="0" t="0"/>
            <wp:docPr descr="" title="" id="55" name="Picture"/>
            <a:graphic>
              <a:graphicData uri="http://schemas.openxmlformats.org/drawingml/2006/picture">
                <pic:pic>
                  <pic:nvPicPr>
                    <pic:cNvPr descr="fig1_model.png" id="56" name="Picture"/>
                    <pic:cNvPicPr>
                      <a:picLocks noChangeArrowheads="1" noChangeAspect="1"/>
                    </pic:cNvPicPr>
                  </pic:nvPicPr>
                  <pic:blipFill>
                    <a:blip r:embed="rId54"/>
                    <a:stretch>
                      <a:fillRect/>
                    </a:stretch>
                  </pic:blipFill>
                  <pic:spPr bwMode="auto">
                    <a:xfrm>
                      <a:off x="0" y="0"/>
                      <a:ext cx="5302908" cy="2229423"/>
                    </a:xfrm>
                    <a:prstGeom prst="rect">
                      <a:avLst/>
                    </a:prstGeom>
                    <a:noFill/>
                    <a:ln w="9525">
                      <a:noFill/>
                      <a:headEnd/>
                      <a:tailEnd/>
                    </a:ln>
                  </pic:spPr>
                </pic:pic>
              </a:graphicData>
            </a:graphic>
          </wp:inline>
        </w:drawing>
      </w:r>
    </w:p>
    <w:p>
      <w:pPr>
        <w:pStyle w:val="BodyText"/>
      </w:pPr>
      <w:r>
        <w:rPr>
          <w:bCs/>
          <w:b/>
        </w:rPr>
        <w:t xml:space="preserve">Fig. 1 Conceptual model and standardised path estimates.</w:t>
      </w:r>
      <w:r>
        <w:t xml:space="preserve"> </w:t>
      </w:r>
      <w:r>
        <w:t xml:space="preserve">Strategic planning (SP) is hypothesised to relate to institutional resilience (IR) directly (c′, H3) and indirectly through capacity development (CD; paths a and b, H1, H2 and H4). Values are standardised WLSMV estimates for the full sample (N = 416). Values in brackets are for respondents who did not give identical answers to all items (n = 207). ***P &lt; 0.001.</w:t>
      </w:r>
    </w:p>
    <w:p>
      <w:pPr>
        <w:pStyle w:val="BodyText"/>
      </w:pPr>
      <w:r>
        <w:drawing>
          <wp:inline>
            <wp:extent cx="5334000" cy="3088630"/>
            <wp:effectExtent b="0" l="0" r="0" t="0"/>
            <wp:docPr descr="" title="" id="58" name="Picture"/>
            <a:graphic>
              <a:graphicData uri="http://schemas.openxmlformats.org/drawingml/2006/picture">
                <pic:pic>
                  <pic:nvPicPr>
                    <pic:cNvPr descr="fig2_item_distributions.png" id="59" name="Picture"/>
                    <pic:cNvPicPr>
                      <a:picLocks noChangeArrowheads="1" noChangeAspect="1"/>
                    </pic:cNvPicPr>
                  </pic:nvPicPr>
                  <pic:blipFill>
                    <a:blip r:embed="rId57"/>
                    <a:stretch>
                      <a:fillRect/>
                    </a:stretch>
                  </pic:blipFill>
                  <pic:spPr bwMode="auto">
                    <a:xfrm>
                      <a:off x="0" y="0"/>
                      <a:ext cx="5334000" cy="3088630"/>
                    </a:xfrm>
                    <a:prstGeom prst="rect">
                      <a:avLst/>
                    </a:prstGeom>
                    <a:noFill/>
                    <a:ln w="9525">
                      <a:noFill/>
                      <a:headEnd/>
                      <a:tailEnd/>
                    </a:ln>
                  </pic:spPr>
                </pic:pic>
              </a:graphicData>
            </a:graphic>
          </wp:inline>
        </w:drawing>
      </w:r>
    </w:p>
    <w:p>
      <w:pPr>
        <w:pStyle w:val="BodyText"/>
      </w:pPr>
      <w:r>
        <w:rPr>
          <w:bCs/>
          <w:b/>
        </w:rPr>
        <w:t xml:space="preserve">Fig. 2 Distribution of responses.</w:t>
      </w:r>
      <w:r>
        <w:t xml:space="preserve"> </w:t>
      </w:r>
      <w:r>
        <w:rPr>
          <w:bCs/>
          <w:b/>
        </w:rPr>
        <w:t xml:space="preserve">a</w:t>
      </w:r>
      <w:r>
        <w:t xml:space="preserve"> </w:t>
      </w:r>
      <w:r>
        <w:t xml:space="preserve">Percentage of respondents choosing each response category for the 20 items (sp, strategic planning; cd, capacity development; ir, institutional resilience); categories 1–4 are combined.</w:t>
      </w:r>
      <w:r>
        <w:t xml:space="preserve"> </w:t>
      </w:r>
      <w:r>
        <w:rPr>
          <w:bCs/>
          <w:b/>
        </w:rPr>
        <w:t xml:space="preserve">b</w:t>
      </w:r>
      <w:r>
        <w:t xml:space="preserve"> </w:t>
      </w:r>
      <w:r>
        <w:t xml:space="preserve">Number of items (of 20) each respondent rated 7 (</w:t>
      </w:r>
      <w:r>
        <w:t xml:space="preserve">“</w:t>
      </w:r>
      <w:r>
        <w:t xml:space="preserve">strongly agree</w:t>
      </w:r>
      <w:r>
        <w:t xml:space="preserve">”</w:t>
      </w:r>
      <w:r>
        <w:t xml:space="preserve">); 207 of 416 respondents rated every item 7.</w:t>
      </w:r>
    </w:p>
    <w:bookmarkEnd w:id="60"/>
    <w:bookmarkStart w:id="61" w:name="tables"/>
    <w:p>
      <w:pPr>
        <w:pStyle w:val="Heading1"/>
      </w:pPr>
      <w:r>
        <w:t xml:space="preserve">Tables</w:t>
      </w:r>
    </w:p>
    <w:p>
      <w:pPr>
        <w:pStyle w:val="FirstParagraph"/>
      </w:pPr>
      <w:r>
        <w:rPr>
          <w:bCs/>
          <w:b/>
        </w:rPr>
        <w:t xml:space="preserve">Table 1</w:t>
      </w:r>
      <w:r>
        <w:t xml:space="preserve"> </w:t>
      </w:r>
      <w:r>
        <w:t xml:space="preserve">Sample characteristics (N = 416)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jc w:val="left"/>
            </w:pPr>
            <w:r>
              <w:rPr>
                <w:sz w:val="18"/>
              </w:rPr>
              <w:t xml:space="preserve">Characteristic</w:t>
            </w:r>
          </w:p>
        </w:tc>
        <w:tc>
          <w:tcPr/>
          <w:p>
            <w:pPr>
              <w:pStyle w:val="Compact"/>
              <w:spacing w:line="240" w:lineRule="auto"/>
              <w:jc w:val="left"/>
            </w:pPr>
            <w:r>
              <w:rPr>
                <w:sz w:val="18"/>
              </w:rPr>
              <w:t xml:space="preserve">Category</w:t>
            </w:r>
          </w:p>
        </w:tc>
        <w:tc>
          <w:tcPr/>
          <w:p>
            <w:pPr>
              <w:pStyle w:val="Compact"/>
              <w:spacing w:line="240" w:lineRule="auto"/>
              <w:jc w:val="right"/>
            </w:pPr>
            <w:r>
              <w:rPr>
                <w:sz w:val="18"/>
              </w:rPr>
              <w:t xml:space="preserve">n</w:t>
            </w:r>
          </w:p>
        </w:tc>
        <w:tc>
          <w:tcPr/>
          <w:p>
            <w:pPr>
              <w:pStyle w:val="Compact"/>
              <w:spacing w:line="240" w:lineRule="auto"/>
              <w:jc w:val="right"/>
            </w:pPr>
            <w:r>
              <w:rPr>
                <w:sz w:val="18"/>
              </w:rPr>
              <w:t xml:space="preserve">%</w:t>
            </w:r>
          </w:p>
        </w:tc>
      </w:tr>
      <w:tr>
        <w:tc>
          <w:tcPr/>
          <w:p>
            <w:pPr>
              <w:pStyle w:val="Compact"/>
              <w:spacing w:line="240" w:lineRule="auto"/>
              <w:jc w:val="left"/>
            </w:pPr>
            <w:r>
              <w:rPr>
                <w:sz w:val="18"/>
              </w:rPr>
              <w:t xml:space="preserve">Gender</w:t>
            </w:r>
          </w:p>
        </w:tc>
        <w:tc>
          <w:tcPr/>
          <w:p>
            <w:pPr>
              <w:pStyle w:val="Compact"/>
              <w:spacing w:line="240" w:lineRule="auto"/>
              <w:jc w:val="left"/>
            </w:pPr>
            <w:r>
              <w:rPr>
                <w:sz w:val="18"/>
              </w:rPr>
              <w:t xml:space="preserve">Male</w:t>
            </w:r>
          </w:p>
        </w:tc>
        <w:tc>
          <w:tcPr/>
          <w:p>
            <w:pPr>
              <w:pStyle w:val="Compact"/>
              <w:spacing w:line="240" w:lineRule="auto"/>
              <w:jc w:val="right"/>
            </w:pPr>
            <w:r>
              <w:rPr>
                <w:sz w:val="18"/>
              </w:rPr>
              <w:t xml:space="preserve">265</w:t>
            </w:r>
          </w:p>
        </w:tc>
        <w:tc>
          <w:tcPr/>
          <w:p>
            <w:pPr>
              <w:pStyle w:val="Compact"/>
              <w:spacing w:line="240" w:lineRule="auto"/>
              <w:jc w:val="right"/>
            </w:pPr>
            <w:r>
              <w:rPr>
                <w:sz w:val="18"/>
              </w:rPr>
              <w:t xml:space="preserve">63.7</w:t>
            </w:r>
          </w:p>
        </w:tc>
      </w:tr>
      <w:tr>
        <w:tc>
          <w:tcPr/>
          <w:p>
            <w:pPr>
              <w:pStyle w:val="Compact"/>
              <w:spacing w:line="240" w:lineRule="auto"/>
            </w:pPr>
          </w:p>
        </w:tc>
        <w:tc>
          <w:tcPr/>
          <w:p>
            <w:pPr>
              <w:pStyle w:val="Compact"/>
              <w:spacing w:line="240" w:lineRule="auto"/>
              <w:jc w:val="left"/>
            </w:pPr>
            <w:r>
              <w:rPr>
                <w:sz w:val="18"/>
              </w:rPr>
              <w:t xml:space="preserve">Female</w:t>
            </w:r>
          </w:p>
        </w:tc>
        <w:tc>
          <w:tcPr/>
          <w:p>
            <w:pPr>
              <w:pStyle w:val="Compact"/>
              <w:spacing w:line="240" w:lineRule="auto"/>
              <w:jc w:val="right"/>
            </w:pPr>
            <w:r>
              <w:rPr>
                <w:sz w:val="18"/>
              </w:rPr>
              <w:t xml:space="preserve">151</w:t>
            </w:r>
          </w:p>
        </w:tc>
        <w:tc>
          <w:tcPr/>
          <w:p>
            <w:pPr>
              <w:pStyle w:val="Compact"/>
              <w:spacing w:line="240" w:lineRule="auto"/>
              <w:jc w:val="right"/>
            </w:pPr>
            <w:r>
              <w:rPr>
                <w:sz w:val="18"/>
              </w:rPr>
              <w:t xml:space="preserve">36.3</w:t>
            </w:r>
          </w:p>
        </w:tc>
      </w:tr>
      <w:tr>
        <w:tc>
          <w:tcPr/>
          <w:p>
            <w:pPr>
              <w:pStyle w:val="Compact"/>
              <w:spacing w:line="240" w:lineRule="auto"/>
              <w:jc w:val="left"/>
            </w:pPr>
            <w:r>
              <w:rPr>
                <w:sz w:val="18"/>
              </w:rPr>
              <w:t xml:space="preserve">Age group</w:t>
            </w:r>
          </w:p>
        </w:tc>
        <w:tc>
          <w:tcPr/>
          <w:p>
            <w:pPr>
              <w:pStyle w:val="Compact"/>
              <w:spacing w:line="240" w:lineRule="auto"/>
              <w:jc w:val="left"/>
            </w:pPr>
            <w:r>
              <w:rPr>
                <w:sz w:val="18"/>
              </w:rPr>
              <w:t xml:space="preserve">40–49</w:t>
            </w:r>
          </w:p>
        </w:tc>
        <w:tc>
          <w:tcPr/>
          <w:p>
            <w:pPr>
              <w:pStyle w:val="Compact"/>
              <w:spacing w:line="240" w:lineRule="auto"/>
              <w:jc w:val="right"/>
            </w:pPr>
            <w:r>
              <w:rPr>
                <w:sz w:val="18"/>
              </w:rPr>
              <w:t xml:space="preserve">299</w:t>
            </w:r>
          </w:p>
        </w:tc>
        <w:tc>
          <w:tcPr/>
          <w:p>
            <w:pPr>
              <w:pStyle w:val="Compact"/>
              <w:spacing w:line="240" w:lineRule="auto"/>
              <w:jc w:val="right"/>
            </w:pPr>
            <w:r>
              <w:rPr>
                <w:sz w:val="18"/>
              </w:rPr>
              <w:t xml:space="preserve">71.9</w:t>
            </w:r>
          </w:p>
        </w:tc>
      </w:tr>
      <w:tr>
        <w:tc>
          <w:tcPr/>
          <w:p>
            <w:pPr>
              <w:pStyle w:val="Compact"/>
              <w:spacing w:line="240" w:lineRule="auto"/>
            </w:pPr>
          </w:p>
        </w:tc>
        <w:tc>
          <w:tcPr/>
          <w:p>
            <w:pPr>
              <w:pStyle w:val="Compact"/>
              <w:spacing w:line="240" w:lineRule="auto"/>
              <w:jc w:val="left"/>
            </w:pPr>
            <w:r>
              <w:rPr>
                <w:sz w:val="18"/>
              </w:rPr>
              <w:t xml:space="preserve">30–39</w:t>
            </w:r>
          </w:p>
        </w:tc>
        <w:tc>
          <w:tcPr/>
          <w:p>
            <w:pPr>
              <w:pStyle w:val="Compact"/>
              <w:spacing w:line="240" w:lineRule="auto"/>
              <w:jc w:val="right"/>
            </w:pPr>
            <w:r>
              <w:rPr>
                <w:sz w:val="18"/>
              </w:rPr>
              <w:t xml:space="preserve">52</w:t>
            </w:r>
          </w:p>
        </w:tc>
        <w:tc>
          <w:tcPr/>
          <w:p>
            <w:pPr>
              <w:pStyle w:val="Compact"/>
              <w:spacing w:line="240" w:lineRule="auto"/>
              <w:jc w:val="right"/>
            </w:pPr>
            <w:r>
              <w:rPr>
                <w:sz w:val="18"/>
              </w:rPr>
              <w:t xml:space="preserve">12.5</w:t>
            </w:r>
          </w:p>
        </w:tc>
      </w:tr>
      <w:tr>
        <w:tc>
          <w:tcPr/>
          <w:p>
            <w:pPr>
              <w:pStyle w:val="Compact"/>
              <w:spacing w:line="240" w:lineRule="auto"/>
            </w:pPr>
          </w:p>
        </w:tc>
        <w:tc>
          <w:tcPr/>
          <w:p>
            <w:pPr>
              <w:pStyle w:val="Compact"/>
              <w:spacing w:line="240" w:lineRule="auto"/>
              <w:jc w:val="left"/>
            </w:pPr>
            <w:r>
              <w:rPr>
                <w:sz w:val="18"/>
              </w:rPr>
              <w:t xml:space="preserve">50 or older</w:t>
            </w:r>
          </w:p>
        </w:tc>
        <w:tc>
          <w:tcPr/>
          <w:p>
            <w:pPr>
              <w:pStyle w:val="Compact"/>
              <w:spacing w:line="240" w:lineRule="auto"/>
              <w:jc w:val="right"/>
            </w:pPr>
            <w:r>
              <w:rPr>
                <w:sz w:val="18"/>
              </w:rPr>
              <w:t xml:space="preserve">47</w:t>
            </w:r>
          </w:p>
        </w:tc>
        <w:tc>
          <w:tcPr/>
          <w:p>
            <w:pPr>
              <w:pStyle w:val="Compact"/>
              <w:spacing w:line="240" w:lineRule="auto"/>
              <w:jc w:val="right"/>
            </w:pPr>
            <w:r>
              <w:rPr>
                <w:sz w:val="18"/>
              </w:rPr>
              <w:t xml:space="preserve">11.3</w:t>
            </w:r>
          </w:p>
        </w:tc>
      </w:tr>
      <w:tr>
        <w:tc>
          <w:tcPr/>
          <w:p>
            <w:pPr>
              <w:pStyle w:val="Compact"/>
              <w:spacing w:line="240" w:lineRule="auto"/>
            </w:pPr>
          </w:p>
        </w:tc>
        <w:tc>
          <w:tcPr/>
          <w:p>
            <w:pPr>
              <w:pStyle w:val="Compact"/>
              <w:spacing w:line="240" w:lineRule="auto"/>
              <w:jc w:val="left"/>
            </w:pPr>
            <w:r>
              <w:rPr>
                <w:sz w:val="18"/>
              </w:rPr>
              <w:t xml:space="preserve">Under 30</w:t>
            </w:r>
          </w:p>
        </w:tc>
        <w:tc>
          <w:tcPr/>
          <w:p>
            <w:pPr>
              <w:pStyle w:val="Compact"/>
              <w:spacing w:line="240" w:lineRule="auto"/>
              <w:jc w:val="right"/>
            </w:pPr>
            <w:r>
              <w:rPr>
                <w:sz w:val="18"/>
              </w:rPr>
              <w:t xml:space="preserve">9</w:t>
            </w:r>
          </w:p>
        </w:tc>
        <w:tc>
          <w:tcPr/>
          <w:p>
            <w:pPr>
              <w:pStyle w:val="Compact"/>
              <w:spacing w:line="240" w:lineRule="auto"/>
              <w:jc w:val="right"/>
            </w:pPr>
            <w:r>
              <w:rPr>
                <w:sz w:val="18"/>
              </w:rPr>
              <w:t xml:space="preserve">2.2</w:t>
            </w:r>
          </w:p>
        </w:tc>
      </w:tr>
      <w:tr>
        <w:tc>
          <w:tcPr/>
          <w:p>
            <w:pPr>
              <w:pStyle w:val="Compact"/>
              <w:spacing w:line="240" w:lineRule="auto"/>
            </w:pPr>
          </w:p>
        </w:tc>
        <w:tc>
          <w:tcPr/>
          <w:p>
            <w:pPr>
              <w:pStyle w:val="Compact"/>
              <w:spacing w:line="240" w:lineRule="auto"/>
              <w:jc w:val="left"/>
            </w:pPr>
            <w:r>
              <w:rPr>
                <w:sz w:val="18"/>
              </w:rPr>
              <w:t xml:space="preserve">Missing</w:t>
            </w:r>
          </w:p>
        </w:tc>
        <w:tc>
          <w:tcPr/>
          <w:p>
            <w:pPr>
              <w:pStyle w:val="Compact"/>
              <w:spacing w:line="240" w:lineRule="auto"/>
              <w:jc w:val="right"/>
            </w:pPr>
            <w:r>
              <w:rPr>
                <w:sz w:val="18"/>
              </w:rPr>
              <w:t xml:space="preserve">9</w:t>
            </w:r>
          </w:p>
        </w:tc>
        <w:tc>
          <w:tcPr/>
          <w:p>
            <w:pPr>
              <w:pStyle w:val="Compact"/>
              <w:spacing w:line="240" w:lineRule="auto"/>
              <w:jc w:val="right"/>
            </w:pPr>
            <w:r>
              <w:rPr>
                <w:sz w:val="18"/>
              </w:rPr>
              <w:t xml:space="preserve">2.2</w:t>
            </w:r>
          </w:p>
        </w:tc>
      </w:tr>
      <w:tr>
        <w:tc>
          <w:tcPr/>
          <w:p>
            <w:pPr>
              <w:pStyle w:val="Compact"/>
              <w:spacing w:line="240" w:lineRule="auto"/>
              <w:jc w:val="left"/>
            </w:pPr>
            <w:r>
              <w:rPr>
                <w:sz w:val="18"/>
              </w:rPr>
              <w:t xml:space="preserve">Organisation type</w:t>
            </w:r>
          </w:p>
        </w:tc>
        <w:tc>
          <w:tcPr/>
          <w:p>
            <w:pPr>
              <w:pStyle w:val="Compact"/>
              <w:spacing w:line="240" w:lineRule="auto"/>
              <w:jc w:val="left"/>
            </w:pPr>
            <w:r>
              <w:rPr>
                <w:sz w:val="18"/>
              </w:rPr>
              <w:t xml:space="preserve">Private Hospital</w:t>
            </w:r>
          </w:p>
        </w:tc>
        <w:tc>
          <w:tcPr/>
          <w:p>
            <w:pPr>
              <w:pStyle w:val="Compact"/>
              <w:spacing w:line="240" w:lineRule="auto"/>
              <w:jc w:val="right"/>
            </w:pPr>
            <w:r>
              <w:rPr>
                <w:sz w:val="18"/>
              </w:rPr>
              <w:t xml:space="preserve">358</w:t>
            </w:r>
          </w:p>
        </w:tc>
        <w:tc>
          <w:tcPr/>
          <w:p>
            <w:pPr>
              <w:pStyle w:val="Compact"/>
              <w:spacing w:line="240" w:lineRule="auto"/>
              <w:jc w:val="right"/>
            </w:pPr>
            <w:r>
              <w:rPr>
                <w:sz w:val="18"/>
              </w:rPr>
              <w:t xml:space="preserve">86.1</w:t>
            </w:r>
          </w:p>
        </w:tc>
      </w:tr>
      <w:tr>
        <w:tc>
          <w:tcPr/>
          <w:p>
            <w:pPr>
              <w:pStyle w:val="Compact"/>
              <w:spacing w:line="240" w:lineRule="auto"/>
            </w:pPr>
          </w:p>
        </w:tc>
        <w:tc>
          <w:tcPr/>
          <w:p>
            <w:pPr>
              <w:pStyle w:val="Compact"/>
              <w:spacing w:line="240" w:lineRule="auto"/>
              <w:jc w:val="left"/>
            </w:pPr>
            <w:r>
              <w:rPr>
                <w:sz w:val="18"/>
              </w:rPr>
              <w:t xml:space="preserve">Private Health Company</w:t>
            </w:r>
          </w:p>
        </w:tc>
        <w:tc>
          <w:tcPr/>
          <w:p>
            <w:pPr>
              <w:pStyle w:val="Compact"/>
              <w:spacing w:line="240" w:lineRule="auto"/>
              <w:jc w:val="right"/>
            </w:pPr>
            <w:r>
              <w:rPr>
                <w:sz w:val="18"/>
              </w:rPr>
              <w:t xml:space="preserve">39</w:t>
            </w:r>
          </w:p>
        </w:tc>
        <w:tc>
          <w:tcPr/>
          <w:p>
            <w:pPr>
              <w:pStyle w:val="Compact"/>
              <w:spacing w:line="240" w:lineRule="auto"/>
              <w:jc w:val="right"/>
            </w:pPr>
            <w:r>
              <w:rPr>
                <w:sz w:val="18"/>
              </w:rPr>
              <w:t xml:space="preserve">9.4</w:t>
            </w:r>
          </w:p>
        </w:tc>
      </w:tr>
      <w:tr>
        <w:tc>
          <w:tcPr/>
          <w:p>
            <w:pPr>
              <w:pStyle w:val="Compact"/>
              <w:spacing w:line="240" w:lineRule="auto"/>
            </w:pPr>
          </w:p>
        </w:tc>
        <w:tc>
          <w:tcPr/>
          <w:p>
            <w:pPr>
              <w:pStyle w:val="Compact"/>
              <w:spacing w:line="240" w:lineRule="auto"/>
              <w:jc w:val="left"/>
            </w:pPr>
            <w:r>
              <w:rPr>
                <w:sz w:val="18"/>
              </w:rPr>
              <w:t xml:space="preserve">NGO</w:t>
            </w:r>
          </w:p>
        </w:tc>
        <w:tc>
          <w:tcPr/>
          <w:p>
            <w:pPr>
              <w:pStyle w:val="Compact"/>
              <w:spacing w:line="240" w:lineRule="auto"/>
              <w:jc w:val="right"/>
            </w:pPr>
            <w:r>
              <w:rPr>
                <w:sz w:val="18"/>
              </w:rPr>
              <w:t xml:space="preserve">5</w:t>
            </w:r>
          </w:p>
        </w:tc>
        <w:tc>
          <w:tcPr/>
          <w:p>
            <w:pPr>
              <w:pStyle w:val="Compact"/>
              <w:spacing w:line="240" w:lineRule="auto"/>
              <w:jc w:val="right"/>
            </w:pPr>
            <w:r>
              <w:rPr>
                <w:sz w:val="18"/>
              </w:rPr>
              <w:t xml:space="preserve">1.2</w:t>
            </w:r>
          </w:p>
        </w:tc>
      </w:tr>
      <w:tr>
        <w:tc>
          <w:tcPr/>
          <w:p>
            <w:pPr>
              <w:pStyle w:val="Compact"/>
              <w:spacing w:line="240" w:lineRule="auto"/>
            </w:pPr>
          </w:p>
        </w:tc>
        <w:tc>
          <w:tcPr/>
          <w:p>
            <w:pPr>
              <w:pStyle w:val="Compact"/>
              <w:spacing w:line="240" w:lineRule="auto"/>
              <w:jc w:val="left"/>
            </w:pPr>
            <w:r>
              <w:rPr>
                <w:sz w:val="18"/>
              </w:rPr>
              <w:t xml:space="preserve">Public Hospital</w:t>
            </w:r>
          </w:p>
        </w:tc>
        <w:tc>
          <w:tcPr/>
          <w:p>
            <w:pPr>
              <w:pStyle w:val="Compact"/>
              <w:spacing w:line="240" w:lineRule="auto"/>
              <w:jc w:val="right"/>
            </w:pPr>
            <w:r>
              <w:rPr>
                <w:sz w:val="18"/>
              </w:rPr>
              <w:t xml:space="preserve">4</w:t>
            </w:r>
          </w:p>
        </w:tc>
        <w:tc>
          <w:tcPr/>
          <w:p>
            <w:pPr>
              <w:pStyle w:val="Compact"/>
              <w:spacing w:line="240" w:lineRule="auto"/>
              <w:jc w:val="right"/>
            </w:pPr>
            <w:r>
              <w:rPr>
                <w:sz w:val="18"/>
              </w:rPr>
              <w:t xml:space="preserve">1.0</w:t>
            </w:r>
          </w:p>
        </w:tc>
      </w:tr>
      <w:tr>
        <w:tc>
          <w:tcPr/>
          <w:p>
            <w:pPr>
              <w:pStyle w:val="Compact"/>
              <w:spacing w:line="240" w:lineRule="auto"/>
            </w:pPr>
          </w:p>
        </w:tc>
        <w:tc>
          <w:tcPr/>
          <w:p>
            <w:pPr>
              <w:pStyle w:val="Compact"/>
              <w:spacing w:line="240" w:lineRule="auto"/>
              <w:jc w:val="left"/>
            </w:pPr>
            <w:r>
              <w:rPr>
                <w:sz w:val="18"/>
              </w:rPr>
              <w:t xml:space="preserve">Governorate Health Directorate</w:t>
            </w:r>
          </w:p>
        </w:tc>
        <w:tc>
          <w:tcPr/>
          <w:p>
            <w:pPr>
              <w:pStyle w:val="Compact"/>
              <w:spacing w:line="240" w:lineRule="auto"/>
              <w:jc w:val="right"/>
            </w:pPr>
            <w:r>
              <w:rPr>
                <w:sz w:val="18"/>
              </w:rPr>
              <w:t xml:space="preserve">4</w:t>
            </w:r>
          </w:p>
        </w:tc>
        <w:tc>
          <w:tcPr/>
          <w:p>
            <w:pPr>
              <w:pStyle w:val="Compact"/>
              <w:spacing w:line="240" w:lineRule="auto"/>
              <w:jc w:val="right"/>
            </w:pPr>
            <w:r>
              <w:rPr>
                <w:sz w:val="18"/>
              </w:rPr>
              <w:t xml:space="preserve">1.0</w:t>
            </w:r>
          </w:p>
        </w:tc>
      </w:tr>
      <w:tr>
        <w:tc>
          <w:tcPr/>
          <w:p>
            <w:pPr>
              <w:pStyle w:val="Compact"/>
              <w:spacing w:line="240" w:lineRule="auto"/>
            </w:pPr>
          </w:p>
        </w:tc>
        <w:tc>
          <w:tcPr/>
          <w:p>
            <w:pPr>
              <w:pStyle w:val="Compact"/>
              <w:spacing w:line="240" w:lineRule="auto"/>
              <w:jc w:val="left"/>
            </w:pPr>
            <w:r>
              <w:rPr>
                <w:sz w:val="18"/>
              </w:rPr>
              <w:t xml:space="preserve">Missing</w:t>
            </w:r>
          </w:p>
        </w:tc>
        <w:tc>
          <w:tcPr/>
          <w:p>
            <w:pPr>
              <w:pStyle w:val="Compact"/>
              <w:spacing w:line="240" w:lineRule="auto"/>
              <w:jc w:val="right"/>
            </w:pPr>
            <w:r>
              <w:rPr>
                <w:sz w:val="18"/>
              </w:rPr>
              <w:t xml:space="preserve">4</w:t>
            </w:r>
          </w:p>
        </w:tc>
        <w:tc>
          <w:tcPr/>
          <w:p>
            <w:pPr>
              <w:pStyle w:val="Compact"/>
              <w:spacing w:line="240" w:lineRule="auto"/>
              <w:jc w:val="right"/>
            </w:pPr>
            <w:r>
              <w:rPr>
                <w:sz w:val="18"/>
              </w:rPr>
              <w:t xml:space="preserve">1.0</w:t>
            </w:r>
          </w:p>
        </w:tc>
      </w:tr>
      <w:tr>
        <w:tc>
          <w:tcPr/>
          <w:p>
            <w:pPr>
              <w:pStyle w:val="Compact"/>
              <w:spacing w:line="240" w:lineRule="auto"/>
            </w:pPr>
          </w:p>
        </w:tc>
        <w:tc>
          <w:tcPr/>
          <w:p>
            <w:pPr>
              <w:pStyle w:val="Compact"/>
              <w:spacing w:line="240" w:lineRule="auto"/>
              <w:jc w:val="left"/>
            </w:pPr>
            <w:r>
              <w:rPr>
                <w:sz w:val="18"/>
              </w:rPr>
              <w:t xml:space="preserve">Other</w:t>
            </w:r>
          </w:p>
        </w:tc>
        <w:tc>
          <w:tcPr/>
          <w:p>
            <w:pPr>
              <w:pStyle w:val="Compact"/>
              <w:spacing w:line="240" w:lineRule="auto"/>
              <w:jc w:val="right"/>
            </w:pPr>
            <w:r>
              <w:rPr>
                <w:sz w:val="18"/>
              </w:rPr>
              <w:t xml:space="preserve">2</w:t>
            </w:r>
          </w:p>
        </w:tc>
        <w:tc>
          <w:tcPr/>
          <w:p>
            <w:pPr>
              <w:pStyle w:val="Compact"/>
              <w:spacing w:line="240" w:lineRule="auto"/>
              <w:jc w:val="right"/>
            </w:pPr>
            <w:r>
              <w:rPr>
                <w:sz w:val="18"/>
              </w:rPr>
              <w:t xml:space="preserve">0.5</w:t>
            </w:r>
          </w:p>
        </w:tc>
      </w:tr>
      <w:tr>
        <w:tc>
          <w:tcPr/>
          <w:p>
            <w:pPr>
              <w:pStyle w:val="Compact"/>
              <w:spacing w:line="240" w:lineRule="auto"/>
              <w:jc w:val="left"/>
            </w:pPr>
            <w:r>
              <w:rPr>
                <w:sz w:val="18"/>
              </w:rPr>
              <w:t xml:space="preserve">Health-sector experience</w:t>
            </w:r>
          </w:p>
        </w:tc>
        <w:tc>
          <w:tcPr/>
          <w:p>
            <w:pPr>
              <w:pStyle w:val="Compact"/>
              <w:spacing w:line="240" w:lineRule="auto"/>
              <w:jc w:val="left"/>
            </w:pPr>
            <w:r>
              <w:rPr>
                <w:sz w:val="18"/>
              </w:rPr>
              <w:t xml:space="preserve">More than 15 years</w:t>
            </w:r>
          </w:p>
        </w:tc>
        <w:tc>
          <w:tcPr/>
          <w:p>
            <w:pPr>
              <w:pStyle w:val="Compact"/>
              <w:spacing w:line="240" w:lineRule="auto"/>
              <w:jc w:val="right"/>
            </w:pPr>
            <w:r>
              <w:rPr>
                <w:sz w:val="18"/>
              </w:rPr>
              <w:t xml:space="preserve">371</w:t>
            </w:r>
          </w:p>
        </w:tc>
        <w:tc>
          <w:tcPr/>
          <w:p>
            <w:pPr>
              <w:pStyle w:val="Compact"/>
              <w:spacing w:line="240" w:lineRule="auto"/>
              <w:jc w:val="right"/>
            </w:pPr>
            <w:r>
              <w:rPr>
                <w:sz w:val="18"/>
              </w:rPr>
              <w:t xml:space="preserve">89.2</w:t>
            </w:r>
          </w:p>
        </w:tc>
      </w:tr>
      <w:tr>
        <w:tc>
          <w:tcPr/>
          <w:p>
            <w:pPr>
              <w:pStyle w:val="Compact"/>
              <w:spacing w:line="240" w:lineRule="auto"/>
            </w:pPr>
          </w:p>
        </w:tc>
        <w:tc>
          <w:tcPr/>
          <w:p>
            <w:pPr>
              <w:pStyle w:val="Compact"/>
              <w:spacing w:line="240" w:lineRule="auto"/>
              <w:jc w:val="left"/>
            </w:pPr>
            <w:r>
              <w:rPr>
                <w:sz w:val="18"/>
              </w:rPr>
              <w:t xml:space="preserve">11–15 years</w:t>
            </w:r>
          </w:p>
        </w:tc>
        <w:tc>
          <w:tcPr/>
          <w:p>
            <w:pPr>
              <w:pStyle w:val="Compact"/>
              <w:spacing w:line="240" w:lineRule="auto"/>
              <w:jc w:val="right"/>
            </w:pPr>
            <w:r>
              <w:rPr>
                <w:sz w:val="18"/>
              </w:rPr>
              <w:t xml:space="preserve">33</w:t>
            </w:r>
          </w:p>
        </w:tc>
        <w:tc>
          <w:tcPr/>
          <w:p>
            <w:pPr>
              <w:pStyle w:val="Compact"/>
              <w:spacing w:line="240" w:lineRule="auto"/>
              <w:jc w:val="right"/>
            </w:pPr>
            <w:r>
              <w:rPr>
                <w:sz w:val="18"/>
              </w:rPr>
              <w:t xml:space="preserve">7.9</w:t>
            </w:r>
          </w:p>
        </w:tc>
      </w:tr>
      <w:tr>
        <w:tc>
          <w:tcPr/>
          <w:p>
            <w:pPr>
              <w:pStyle w:val="Compact"/>
              <w:spacing w:line="240" w:lineRule="auto"/>
            </w:pPr>
          </w:p>
        </w:tc>
        <w:tc>
          <w:tcPr/>
          <w:p>
            <w:pPr>
              <w:pStyle w:val="Compact"/>
              <w:spacing w:line="240" w:lineRule="auto"/>
              <w:jc w:val="left"/>
            </w:pPr>
            <w:r>
              <w:rPr>
                <w:sz w:val="18"/>
              </w:rPr>
              <w:t xml:space="preserve">5–10 years</w:t>
            </w:r>
          </w:p>
        </w:tc>
        <w:tc>
          <w:tcPr/>
          <w:p>
            <w:pPr>
              <w:pStyle w:val="Compact"/>
              <w:spacing w:line="240" w:lineRule="auto"/>
              <w:jc w:val="right"/>
            </w:pPr>
            <w:r>
              <w:rPr>
                <w:sz w:val="18"/>
              </w:rPr>
              <w:t xml:space="preserve">8</w:t>
            </w:r>
          </w:p>
        </w:tc>
        <w:tc>
          <w:tcPr/>
          <w:p>
            <w:pPr>
              <w:pStyle w:val="Compact"/>
              <w:spacing w:line="240" w:lineRule="auto"/>
              <w:jc w:val="right"/>
            </w:pPr>
            <w:r>
              <w:rPr>
                <w:sz w:val="18"/>
              </w:rPr>
              <w:t xml:space="preserve">1.9</w:t>
            </w:r>
          </w:p>
        </w:tc>
      </w:tr>
      <w:tr>
        <w:tc>
          <w:tcPr/>
          <w:p>
            <w:pPr>
              <w:pStyle w:val="Compact"/>
              <w:spacing w:line="240" w:lineRule="auto"/>
            </w:pPr>
          </w:p>
        </w:tc>
        <w:tc>
          <w:tcPr/>
          <w:p>
            <w:pPr>
              <w:pStyle w:val="Compact"/>
              <w:spacing w:line="240" w:lineRule="auto"/>
              <w:jc w:val="left"/>
            </w:pPr>
            <w:r>
              <w:rPr>
                <w:sz w:val="18"/>
              </w:rPr>
              <w:t xml:space="preserve">Less than 5 years</w:t>
            </w:r>
          </w:p>
        </w:tc>
        <w:tc>
          <w:tcPr/>
          <w:p>
            <w:pPr>
              <w:pStyle w:val="Compact"/>
              <w:spacing w:line="240" w:lineRule="auto"/>
              <w:jc w:val="right"/>
            </w:pPr>
            <w:r>
              <w:rPr>
                <w:sz w:val="18"/>
              </w:rPr>
              <w:t xml:space="preserve">3</w:t>
            </w:r>
          </w:p>
        </w:tc>
        <w:tc>
          <w:tcPr/>
          <w:p>
            <w:pPr>
              <w:pStyle w:val="Compact"/>
              <w:spacing w:line="240" w:lineRule="auto"/>
              <w:jc w:val="right"/>
            </w:pPr>
            <w:r>
              <w:rPr>
                <w:sz w:val="18"/>
              </w:rPr>
              <w:t xml:space="preserve">0.7</w:t>
            </w:r>
          </w:p>
        </w:tc>
      </w:tr>
      <w:tr>
        <w:tc>
          <w:tcPr/>
          <w:p>
            <w:pPr>
              <w:pStyle w:val="Compact"/>
              <w:spacing w:line="240" w:lineRule="auto"/>
            </w:pPr>
          </w:p>
        </w:tc>
        <w:tc>
          <w:tcPr/>
          <w:p>
            <w:pPr>
              <w:pStyle w:val="Compact"/>
              <w:spacing w:line="240" w:lineRule="auto"/>
              <w:jc w:val="left"/>
            </w:pPr>
            <w:r>
              <w:rPr>
                <w:sz w:val="18"/>
              </w:rPr>
              <w:t xml:space="preserve">Missing</w:t>
            </w:r>
          </w:p>
        </w:tc>
        <w:tc>
          <w:tcPr/>
          <w:p>
            <w:pPr>
              <w:pStyle w:val="Compact"/>
              <w:spacing w:line="240" w:lineRule="auto"/>
              <w:jc w:val="right"/>
            </w:pPr>
            <w:r>
              <w:rPr>
                <w:sz w:val="18"/>
              </w:rPr>
              <w:t xml:space="preserve">1</w:t>
            </w:r>
          </w:p>
        </w:tc>
        <w:tc>
          <w:tcPr/>
          <w:p>
            <w:pPr>
              <w:pStyle w:val="Compact"/>
              <w:spacing w:line="240" w:lineRule="auto"/>
              <w:jc w:val="right"/>
            </w:pPr>
            <w:r>
              <w:rPr>
                <w:sz w:val="18"/>
              </w:rPr>
              <w:t xml:space="preserve">0.2</w:t>
            </w:r>
          </w:p>
        </w:tc>
      </w:tr>
    </w:tbl>
    <w:p>
      <w:pPr>
        <w:pStyle w:val="BodyText"/>
      </w:pPr>
      <w:r>
        <w:rPr>
          <w:bCs/>
          <w:b/>
        </w:rPr>
        <w:t xml:space="preserve">Table 2</w:t>
      </w:r>
      <w:r>
        <w:t xml:space="preserve"> </w:t>
      </w:r>
      <w:r>
        <w:t xml:space="preserve">Descriptive statistics, reliability and correlations of scale scores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spacing w:line="240" w:lineRule="auto"/>
              <w:jc w:val="left"/>
            </w:pPr>
            <w:r>
              <w:rPr>
                <w:sz w:val="18"/>
              </w:rPr>
              <w:t xml:space="preserve">Construct</w:t>
            </w:r>
          </w:p>
        </w:tc>
        <w:tc>
          <w:tcPr/>
          <w:p>
            <w:pPr>
              <w:pStyle w:val="Compact"/>
              <w:spacing w:line="240" w:lineRule="auto"/>
              <w:jc w:val="right"/>
            </w:pPr>
            <w:r>
              <w:rPr>
                <w:sz w:val="18"/>
              </w:rPr>
              <w:t xml:space="preserve">Items</w:t>
            </w:r>
          </w:p>
        </w:tc>
        <w:tc>
          <w:tcPr/>
          <w:p>
            <w:pPr>
              <w:pStyle w:val="Compact"/>
              <w:spacing w:line="240" w:lineRule="auto"/>
              <w:jc w:val="right"/>
            </w:pPr>
            <w:r>
              <w:rPr>
                <w:sz w:val="18"/>
              </w:rPr>
              <w:t xml:space="preserve">Mean</w:t>
            </w:r>
          </w:p>
        </w:tc>
        <w:tc>
          <w:tcPr/>
          <w:p>
            <w:pPr>
              <w:pStyle w:val="Compact"/>
              <w:spacing w:line="240" w:lineRule="auto"/>
              <w:jc w:val="right"/>
            </w:pPr>
            <w:r>
              <w:rPr>
                <w:sz w:val="18"/>
              </w:rPr>
              <w:t xml:space="preserve">SD</w:t>
            </w:r>
          </w:p>
        </w:tc>
        <w:tc>
          <w:tcPr/>
          <w:p>
            <w:pPr>
              <w:pStyle w:val="Compact"/>
              <w:spacing w:line="240" w:lineRule="auto"/>
              <w:jc w:val="right"/>
            </w:pPr>
            <w:r>
              <w:rPr>
                <w:sz w:val="18"/>
              </w:rPr>
              <w:t xml:space="preserve">% scoring 7</w:t>
            </w:r>
          </w:p>
        </w:tc>
        <w:tc>
          <w:tcPr/>
          <w:p>
            <w:pPr>
              <w:pStyle w:val="Compact"/>
              <w:spacing w:line="240" w:lineRule="auto"/>
              <w:jc w:val="right"/>
            </w:pPr>
            <w:r>
              <w:rPr>
                <w:sz w:val="18"/>
              </w:rPr>
              <w:t xml:space="preserve">Cronbach’s α</w:t>
            </w:r>
          </w:p>
        </w:tc>
        <w:tc>
          <w:tcPr/>
          <w:p>
            <w:pPr>
              <w:pStyle w:val="Compact"/>
              <w:spacing w:line="240" w:lineRule="auto"/>
              <w:jc w:val="left"/>
            </w:pPr>
            <w:r>
              <w:rPr>
                <w:sz w:val="18"/>
              </w:rPr>
              <w:t xml:space="preserve">r with SP</w:t>
            </w:r>
          </w:p>
        </w:tc>
        <w:tc>
          <w:tcPr/>
          <w:p>
            <w:pPr>
              <w:pStyle w:val="Compact"/>
              <w:spacing w:line="240" w:lineRule="auto"/>
              <w:jc w:val="left"/>
            </w:pPr>
            <w:r>
              <w:rPr>
                <w:sz w:val="18"/>
              </w:rPr>
              <w:t xml:space="preserve">r with CD</w:t>
            </w:r>
          </w:p>
        </w:tc>
      </w:tr>
      <w:tr>
        <w:tc>
          <w:tcPr/>
          <w:p>
            <w:pPr>
              <w:pStyle w:val="Compact"/>
              <w:spacing w:line="240" w:lineRule="auto"/>
              <w:jc w:val="left"/>
            </w:pPr>
            <w:r>
              <w:rPr>
                <w:sz w:val="18"/>
              </w:rPr>
              <w:t xml:space="preserve">Strategic planning (SP)</w:t>
            </w:r>
          </w:p>
        </w:tc>
        <w:tc>
          <w:tcPr/>
          <w:p>
            <w:pPr>
              <w:pStyle w:val="Compact"/>
              <w:spacing w:line="240" w:lineRule="auto"/>
              <w:jc w:val="right"/>
            </w:pPr>
            <w:r>
              <w:rPr>
                <w:sz w:val="18"/>
              </w:rPr>
              <w:t xml:space="preserve">10</w:t>
            </w:r>
          </w:p>
        </w:tc>
        <w:tc>
          <w:tcPr/>
          <w:p>
            <w:pPr>
              <w:pStyle w:val="Compact"/>
              <w:spacing w:line="240" w:lineRule="auto"/>
              <w:jc w:val="right"/>
            </w:pPr>
            <w:r>
              <w:rPr>
                <w:sz w:val="18"/>
              </w:rPr>
              <w:t xml:space="preserve">6.75 (6.50)</w:t>
            </w:r>
          </w:p>
        </w:tc>
        <w:tc>
          <w:tcPr/>
          <w:p>
            <w:pPr>
              <w:pStyle w:val="Compact"/>
              <w:spacing w:line="240" w:lineRule="auto"/>
              <w:jc w:val="right"/>
            </w:pPr>
            <w:r>
              <w:rPr>
                <w:sz w:val="18"/>
              </w:rPr>
              <w:t xml:space="preserve">0.49 (0.59)</w:t>
            </w:r>
          </w:p>
        </w:tc>
        <w:tc>
          <w:tcPr/>
          <w:p>
            <w:pPr>
              <w:pStyle w:val="Compact"/>
              <w:spacing w:line="240" w:lineRule="auto"/>
              <w:jc w:val="right"/>
            </w:pPr>
            <w:r>
              <w:rPr>
                <w:sz w:val="18"/>
              </w:rPr>
              <w:t xml:space="preserve">59.1</w:t>
            </w:r>
          </w:p>
        </w:tc>
        <w:tc>
          <w:tcPr/>
          <w:p>
            <w:pPr>
              <w:pStyle w:val="Compact"/>
              <w:spacing w:line="240" w:lineRule="auto"/>
              <w:jc w:val="right"/>
            </w:pPr>
            <w:r>
              <w:rPr>
                <w:sz w:val="18"/>
              </w:rPr>
              <w:t xml:space="preserve">0.94 (0.93)</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w:t>
            </w:r>
          </w:p>
        </w:tc>
      </w:tr>
      <w:tr>
        <w:tc>
          <w:tcPr/>
          <w:p>
            <w:pPr>
              <w:pStyle w:val="Compact"/>
              <w:spacing w:line="240" w:lineRule="auto"/>
              <w:jc w:val="left"/>
            </w:pPr>
            <w:r>
              <w:rPr>
                <w:sz w:val="18"/>
              </w:rPr>
              <w:t xml:space="preserve">Capacity development (CD)</w:t>
            </w:r>
          </w:p>
        </w:tc>
        <w:tc>
          <w:tcPr/>
          <w:p>
            <w:pPr>
              <w:pStyle w:val="Compact"/>
              <w:spacing w:line="240" w:lineRule="auto"/>
              <w:jc w:val="right"/>
            </w:pPr>
            <w:r>
              <w:rPr>
                <w:sz w:val="18"/>
              </w:rPr>
              <w:t xml:space="preserve">5</w:t>
            </w:r>
          </w:p>
        </w:tc>
        <w:tc>
          <w:tcPr/>
          <w:p>
            <w:pPr>
              <w:pStyle w:val="Compact"/>
              <w:spacing w:line="240" w:lineRule="auto"/>
              <w:jc w:val="right"/>
            </w:pPr>
            <w:r>
              <w:rPr>
                <w:sz w:val="18"/>
              </w:rPr>
              <w:t xml:space="preserve">6.70 (6.41)</w:t>
            </w:r>
          </w:p>
        </w:tc>
        <w:tc>
          <w:tcPr/>
          <w:p>
            <w:pPr>
              <w:pStyle w:val="Compact"/>
              <w:spacing w:line="240" w:lineRule="auto"/>
              <w:jc w:val="right"/>
            </w:pPr>
            <w:r>
              <w:rPr>
                <w:sz w:val="18"/>
              </w:rPr>
              <w:t xml:space="preserve">0.65 (0.81)</w:t>
            </w:r>
          </w:p>
        </w:tc>
        <w:tc>
          <w:tcPr/>
          <w:p>
            <w:pPr>
              <w:pStyle w:val="Compact"/>
              <w:spacing w:line="240" w:lineRule="auto"/>
              <w:jc w:val="right"/>
            </w:pPr>
            <w:r>
              <w:rPr>
                <w:sz w:val="18"/>
              </w:rPr>
              <w:t xml:space="preserve">66.3</w:t>
            </w:r>
          </w:p>
        </w:tc>
        <w:tc>
          <w:tcPr/>
          <w:p>
            <w:pPr>
              <w:pStyle w:val="Compact"/>
              <w:spacing w:line="240" w:lineRule="auto"/>
              <w:jc w:val="right"/>
            </w:pPr>
            <w:r>
              <w:rPr>
                <w:sz w:val="18"/>
              </w:rPr>
              <w:t xml:space="preserve">0.93 (0.92)</w:t>
            </w:r>
          </w:p>
        </w:tc>
        <w:tc>
          <w:tcPr/>
          <w:p>
            <w:pPr>
              <w:pStyle w:val="Compact"/>
              <w:spacing w:line="240" w:lineRule="auto"/>
              <w:jc w:val="left"/>
            </w:pPr>
            <w:r>
              <w:rPr>
                <w:sz w:val="18"/>
              </w:rPr>
              <w:t xml:space="preserve">0.87 (0.83)</w:t>
            </w:r>
          </w:p>
        </w:tc>
        <w:tc>
          <w:tcPr/>
          <w:p>
            <w:pPr>
              <w:pStyle w:val="Compact"/>
              <w:spacing w:line="240" w:lineRule="auto"/>
              <w:jc w:val="left"/>
            </w:pPr>
            <w:r>
              <w:rPr>
                <w:sz w:val="18"/>
              </w:rPr>
              <w:t xml:space="preserve">—</w:t>
            </w:r>
          </w:p>
        </w:tc>
      </w:tr>
      <w:tr>
        <w:tc>
          <w:tcPr/>
          <w:p>
            <w:pPr>
              <w:pStyle w:val="Compact"/>
              <w:spacing w:line="240" w:lineRule="auto"/>
              <w:jc w:val="left"/>
            </w:pPr>
            <w:r>
              <w:rPr>
                <w:sz w:val="18"/>
              </w:rPr>
              <w:t xml:space="preserve">Institutional resilience (IR)</w:t>
            </w:r>
          </w:p>
        </w:tc>
        <w:tc>
          <w:tcPr/>
          <w:p>
            <w:pPr>
              <w:pStyle w:val="Compact"/>
              <w:spacing w:line="240" w:lineRule="auto"/>
              <w:jc w:val="right"/>
            </w:pPr>
            <w:r>
              <w:rPr>
                <w:sz w:val="18"/>
              </w:rPr>
              <w:t xml:space="preserve">5</w:t>
            </w:r>
          </w:p>
        </w:tc>
        <w:tc>
          <w:tcPr/>
          <w:p>
            <w:pPr>
              <w:pStyle w:val="Compact"/>
              <w:spacing w:line="240" w:lineRule="auto"/>
              <w:jc w:val="right"/>
            </w:pPr>
            <w:r>
              <w:rPr>
                <w:sz w:val="18"/>
              </w:rPr>
              <w:t xml:space="preserve">6.66 (6.32)</w:t>
            </w:r>
          </w:p>
        </w:tc>
        <w:tc>
          <w:tcPr/>
          <w:p>
            <w:pPr>
              <w:pStyle w:val="Compact"/>
              <w:spacing w:line="240" w:lineRule="auto"/>
              <w:jc w:val="right"/>
            </w:pPr>
            <w:r>
              <w:rPr>
                <w:sz w:val="18"/>
              </w:rPr>
              <w:t xml:space="preserve">0.70 (0.87)</w:t>
            </w:r>
          </w:p>
        </w:tc>
        <w:tc>
          <w:tcPr/>
          <w:p>
            <w:pPr>
              <w:pStyle w:val="Compact"/>
              <w:spacing w:line="240" w:lineRule="auto"/>
              <w:jc w:val="right"/>
            </w:pPr>
            <w:r>
              <w:rPr>
                <w:sz w:val="18"/>
              </w:rPr>
              <w:t xml:space="preserve">61.5</w:t>
            </w:r>
          </w:p>
        </w:tc>
        <w:tc>
          <w:tcPr/>
          <w:p>
            <w:pPr>
              <w:pStyle w:val="Compact"/>
              <w:spacing w:line="240" w:lineRule="auto"/>
              <w:jc w:val="right"/>
            </w:pPr>
            <w:r>
              <w:rPr>
                <w:sz w:val="18"/>
              </w:rPr>
              <w:t xml:space="preserve">0.93 (0.92)</w:t>
            </w:r>
          </w:p>
        </w:tc>
        <w:tc>
          <w:tcPr/>
          <w:p>
            <w:pPr>
              <w:pStyle w:val="Compact"/>
              <w:spacing w:line="240" w:lineRule="auto"/>
              <w:jc w:val="left"/>
            </w:pPr>
            <w:r>
              <w:rPr>
                <w:sz w:val="18"/>
              </w:rPr>
              <w:t xml:space="preserve">0.84 (0.79)</w:t>
            </w:r>
          </w:p>
        </w:tc>
        <w:tc>
          <w:tcPr/>
          <w:p>
            <w:pPr>
              <w:pStyle w:val="Compact"/>
              <w:spacing w:line="240" w:lineRule="auto"/>
              <w:jc w:val="left"/>
            </w:pPr>
            <w:r>
              <w:rPr>
                <w:sz w:val="18"/>
              </w:rPr>
              <w:t xml:space="preserve">0.91 (0.89)</w:t>
            </w:r>
          </w:p>
        </w:tc>
      </w:tr>
    </w:tbl>
    <w:p>
      <w:pPr>
        <w:pStyle w:val="BodyText"/>
      </w:pPr>
      <w:r>
        <w:t xml:space="preserve">Values are for the full sample (N = 416); values in parentheses exclude respondents who gave the same answer to all 20 items (n = 207). Scale scores are item means (range 1–7); % scoring 7 is the share of respondents with the maximum scale score. Correlations are Pearson’s r; all P &lt; 0.001.</w:t>
      </w:r>
    </w:p>
    <w:p>
      <w:pPr>
        <w:pStyle w:val="BodyText"/>
      </w:pPr>
      <w:r>
        <w:rPr>
          <w:bCs/>
          <w:b/>
        </w:rPr>
        <w:t xml:space="preserve">Table 3</w:t>
      </w:r>
      <w:r>
        <w:t xml:space="preserve"> </w:t>
      </w:r>
      <w:r>
        <w:t xml:space="preserve">Measurement model: fit, reliability and discriminant validity</w:t>
      </w:r>
    </w:p>
    <w:p>
      <w:pPr>
        <w:pStyle w:val="BodyText"/>
      </w:pPr>
      <w:r>
        <w:rPr>
          <w:iCs/>
          <w:i/>
        </w:rPr>
        <w:t xml:space="preserve">a. Model fit</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spacing w:line="240" w:lineRule="auto"/>
              <w:jc w:val="left"/>
            </w:pPr>
            <w:r>
              <w:rPr>
                <w:sz w:val="18"/>
              </w:rPr>
              <w:t xml:space="preserve">Sample</w:t>
            </w:r>
          </w:p>
        </w:tc>
        <w:tc>
          <w:tcPr/>
          <w:p>
            <w:pPr>
              <w:pStyle w:val="Compact"/>
              <w:spacing w:line="240" w:lineRule="auto"/>
              <w:jc w:val="left"/>
            </w:pPr>
            <w:r>
              <w:rPr>
                <w:sz w:val="18"/>
              </w:rPr>
              <w:t xml:space="preserve">Model</w:t>
            </w:r>
          </w:p>
        </w:tc>
        <w:tc>
          <w:tcPr/>
          <w:p>
            <w:pPr>
              <w:pStyle w:val="Compact"/>
              <w:spacing w:line="240" w:lineRule="auto"/>
              <w:jc w:val="right"/>
            </w:pPr>
            <w:r>
              <w:rPr>
                <w:sz w:val="18"/>
              </w:rPr>
              <w:t xml:space="preserve">χ²</w:t>
            </w:r>
          </w:p>
        </w:tc>
        <w:tc>
          <w:tcPr/>
          <w:p>
            <w:pPr>
              <w:pStyle w:val="Compact"/>
              <w:spacing w:line="240" w:lineRule="auto"/>
              <w:jc w:val="right"/>
            </w:pPr>
            <w:r>
              <w:rPr>
                <w:sz w:val="18"/>
              </w:rPr>
              <w:t xml:space="preserve">df</w:t>
            </w:r>
          </w:p>
        </w:tc>
        <w:tc>
          <w:tcPr/>
          <w:p>
            <w:pPr>
              <w:pStyle w:val="Compact"/>
              <w:spacing w:line="240" w:lineRule="auto"/>
              <w:jc w:val="right"/>
            </w:pPr>
            <w:r>
              <w:rPr>
                <w:sz w:val="18"/>
              </w:rPr>
              <w:t xml:space="preserve">CFI</w:t>
            </w:r>
          </w:p>
        </w:tc>
        <w:tc>
          <w:tcPr/>
          <w:p>
            <w:pPr>
              <w:pStyle w:val="Compact"/>
              <w:spacing w:line="240" w:lineRule="auto"/>
              <w:jc w:val="right"/>
            </w:pPr>
            <w:r>
              <w:rPr>
                <w:sz w:val="18"/>
              </w:rPr>
              <w:t xml:space="preserve">TLI</w:t>
            </w:r>
          </w:p>
        </w:tc>
        <w:tc>
          <w:tcPr/>
          <w:p>
            <w:pPr>
              <w:pStyle w:val="Compact"/>
              <w:spacing w:line="240" w:lineRule="auto"/>
              <w:jc w:val="right"/>
            </w:pPr>
            <w:r>
              <w:rPr>
                <w:sz w:val="18"/>
              </w:rPr>
              <w:t xml:space="preserve">RMSEA [90% CI]</w:t>
            </w:r>
          </w:p>
        </w:tc>
        <w:tc>
          <w:tcPr/>
          <w:p>
            <w:pPr>
              <w:pStyle w:val="Compact"/>
              <w:spacing w:line="240" w:lineRule="auto"/>
              <w:jc w:val="right"/>
            </w:pPr>
            <w:r>
              <w:rPr>
                <w:sz w:val="18"/>
              </w:rPr>
              <w:t xml:space="preserve">SRMR</w:t>
            </w:r>
          </w:p>
        </w:tc>
      </w:tr>
      <w:tr>
        <w:tc>
          <w:tcPr/>
          <w:p>
            <w:pPr>
              <w:pStyle w:val="Compact"/>
              <w:spacing w:line="240" w:lineRule="auto"/>
              <w:jc w:val="left"/>
            </w:pPr>
            <w:r>
              <w:rPr>
                <w:sz w:val="18"/>
              </w:rPr>
              <w:t xml:space="preserve">Full sample (n = 416)</w:t>
            </w:r>
          </w:p>
        </w:tc>
        <w:tc>
          <w:tcPr/>
          <w:p>
            <w:pPr>
              <w:pStyle w:val="Compact"/>
              <w:spacing w:line="240" w:lineRule="auto"/>
              <w:jc w:val="left"/>
            </w:pPr>
            <w:r>
              <w:rPr>
                <w:sz w:val="18"/>
              </w:rPr>
              <w:t xml:space="preserve">1-factor</w:t>
            </w:r>
          </w:p>
        </w:tc>
        <w:tc>
          <w:tcPr/>
          <w:p>
            <w:pPr>
              <w:pStyle w:val="Compact"/>
              <w:spacing w:line="240" w:lineRule="auto"/>
              <w:jc w:val="right"/>
            </w:pPr>
            <w:r>
              <w:rPr>
                <w:sz w:val="18"/>
              </w:rPr>
              <w:t xml:space="preserve">481.6</w:t>
            </w:r>
          </w:p>
        </w:tc>
        <w:tc>
          <w:tcPr/>
          <w:p>
            <w:pPr>
              <w:pStyle w:val="Compact"/>
              <w:spacing w:line="240" w:lineRule="auto"/>
              <w:jc w:val="right"/>
            </w:pPr>
            <w:r>
              <w:rPr>
                <w:sz w:val="18"/>
              </w:rPr>
              <w:t xml:space="preserve">170</w:t>
            </w:r>
          </w:p>
        </w:tc>
        <w:tc>
          <w:tcPr/>
          <w:p>
            <w:pPr>
              <w:pStyle w:val="Compact"/>
              <w:spacing w:line="240" w:lineRule="auto"/>
              <w:jc w:val="right"/>
            </w:pPr>
            <w:r>
              <w:rPr>
                <w:sz w:val="18"/>
              </w:rPr>
              <w:t xml:space="preserve">0.989</w:t>
            </w:r>
          </w:p>
        </w:tc>
        <w:tc>
          <w:tcPr/>
          <w:p>
            <w:pPr>
              <w:pStyle w:val="Compact"/>
              <w:spacing w:line="240" w:lineRule="auto"/>
              <w:jc w:val="right"/>
            </w:pPr>
            <w:r>
              <w:rPr>
                <w:sz w:val="18"/>
              </w:rPr>
              <w:t xml:space="preserve">0.987</w:t>
            </w:r>
          </w:p>
        </w:tc>
        <w:tc>
          <w:tcPr/>
          <w:p>
            <w:pPr>
              <w:pStyle w:val="Compact"/>
              <w:spacing w:line="240" w:lineRule="auto"/>
              <w:jc w:val="right"/>
            </w:pPr>
            <w:r>
              <w:rPr>
                <w:sz w:val="18"/>
              </w:rPr>
              <w:t xml:space="preserve">0.066 [0.060, 0.073]</w:t>
            </w:r>
          </w:p>
        </w:tc>
        <w:tc>
          <w:tcPr/>
          <w:p>
            <w:pPr>
              <w:pStyle w:val="Compact"/>
              <w:spacing w:line="240" w:lineRule="auto"/>
              <w:jc w:val="right"/>
            </w:pPr>
            <w:r>
              <w:rPr>
                <w:sz w:val="18"/>
              </w:rPr>
              <w:t xml:space="preserve">0.044</w:t>
            </w:r>
          </w:p>
        </w:tc>
      </w:tr>
      <w:tr>
        <w:tc>
          <w:tcPr/>
          <w:p>
            <w:pPr>
              <w:pStyle w:val="Compact"/>
              <w:spacing w:line="240" w:lineRule="auto"/>
              <w:jc w:val="left"/>
            </w:pPr>
            <w:r>
              <w:rPr>
                <w:sz w:val="18"/>
              </w:rPr>
              <w:t xml:space="preserve">Full sample (n = 416)</w:t>
            </w:r>
          </w:p>
        </w:tc>
        <w:tc>
          <w:tcPr/>
          <w:p>
            <w:pPr>
              <w:pStyle w:val="Compact"/>
              <w:spacing w:line="240" w:lineRule="auto"/>
              <w:jc w:val="left"/>
            </w:pPr>
            <w:r>
              <w:rPr>
                <w:sz w:val="18"/>
              </w:rPr>
              <w:t xml:space="preserve">2-factor (SP; CD+IR)</w:t>
            </w:r>
          </w:p>
        </w:tc>
        <w:tc>
          <w:tcPr/>
          <w:p>
            <w:pPr>
              <w:pStyle w:val="Compact"/>
              <w:spacing w:line="240" w:lineRule="auto"/>
              <w:jc w:val="right"/>
            </w:pPr>
            <w:r>
              <w:rPr>
                <w:sz w:val="18"/>
              </w:rPr>
              <w:t xml:space="preserve">283.6</w:t>
            </w:r>
          </w:p>
        </w:tc>
        <w:tc>
          <w:tcPr/>
          <w:p>
            <w:pPr>
              <w:pStyle w:val="Compact"/>
              <w:spacing w:line="240" w:lineRule="auto"/>
              <w:jc w:val="right"/>
            </w:pPr>
            <w:r>
              <w:rPr>
                <w:sz w:val="18"/>
              </w:rPr>
              <w:t xml:space="preserve">169</w:t>
            </w:r>
          </w:p>
        </w:tc>
        <w:tc>
          <w:tcPr/>
          <w:p>
            <w:pPr>
              <w:pStyle w:val="Compact"/>
              <w:spacing w:line="240" w:lineRule="auto"/>
              <w:jc w:val="right"/>
            </w:pPr>
            <w:r>
              <w:rPr>
                <w:sz w:val="18"/>
              </w:rPr>
              <w:t xml:space="preserve">0.996</w:t>
            </w:r>
          </w:p>
        </w:tc>
        <w:tc>
          <w:tcPr/>
          <w:p>
            <w:pPr>
              <w:pStyle w:val="Compact"/>
              <w:spacing w:line="240" w:lineRule="auto"/>
              <w:jc w:val="right"/>
            </w:pPr>
            <w:r>
              <w:rPr>
                <w:sz w:val="18"/>
              </w:rPr>
              <w:t xml:space="preserve">0.995</w:t>
            </w:r>
          </w:p>
        </w:tc>
        <w:tc>
          <w:tcPr/>
          <w:p>
            <w:pPr>
              <w:pStyle w:val="Compact"/>
              <w:spacing w:line="240" w:lineRule="auto"/>
              <w:jc w:val="right"/>
            </w:pPr>
            <w:r>
              <w:rPr>
                <w:sz w:val="18"/>
              </w:rPr>
              <w:t xml:space="preserve">0.040 [0.032, 0.048]</w:t>
            </w:r>
          </w:p>
        </w:tc>
        <w:tc>
          <w:tcPr/>
          <w:p>
            <w:pPr>
              <w:pStyle w:val="Compact"/>
              <w:spacing w:line="240" w:lineRule="auto"/>
              <w:jc w:val="right"/>
            </w:pPr>
            <w:r>
              <w:rPr>
                <w:sz w:val="18"/>
              </w:rPr>
              <w:t xml:space="preserve">0.030</w:t>
            </w:r>
          </w:p>
        </w:tc>
      </w:tr>
      <w:tr>
        <w:tc>
          <w:tcPr/>
          <w:p>
            <w:pPr>
              <w:pStyle w:val="Compact"/>
              <w:spacing w:line="240" w:lineRule="auto"/>
              <w:jc w:val="left"/>
            </w:pPr>
            <w:r>
              <w:rPr>
                <w:sz w:val="18"/>
              </w:rPr>
              <w:t xml:space="preserve">Full sample (n = 416)</w:t>
            </w:r>
          </w:p>
        </w:tc>
        <w:tc>
          <w:tcPr/>
          <w:p>
            <w:pPr>
              <w:pStyle w:val="Compact"/>
              <w:spacing w:line="240" w:lineRule="auto"/>
              <w:jc w:val="left"/>
            </w:pPr>
            <w:r>
              <w:rPr>
                <w:sz w:val="18"/>
              </w:rPr>
              <w:t xml:space="preserve">3-factor (SP; CD; IR)</w:t>
            </w:r>
          </w:p>
        </w:tc>
        <w:tc>
          <w:tcPr/>
          <w:p>
            <w:pPr>
              <w:pStyle w:val="Compact"/>
              <w:spacing w:line="240" w:lineRule="auto"/>
              <w:jc w:val="right"/>
            </w:pPr>
            <w:r>
              <w:rPr>
                <w:sz w:val="18"/>
              </w:rPr>
              <w:t xml:space="preserve">274.4</w:t>
            </w:r>
          </w:p>
        </w:tc>
        <w:tc>
          <w:tcPr/>
          <w:p>
            <w:pPr>
              <w:pStyle w:val="Compact"/>
              <w:spacing w:line="240" w:lineRule="auto"/>
              <w:jc w:val="right"/>
            </w:pPr>
            <w:r>
              <w:rPr>
                <w:sz w:val="18"/>
              </w:rPr>
              <w:t xml:space="preserve">167</w:t>
            </w:r>
          </w:p>
        </w:tc>
        <w:tc>
          <w:tcPr/>
          <w:p>
            <w:pPr>
              <w:pStyle w:val="Compact"/>
              <w:spacing w:line="240" w:lineRule="auto"/>
              <w:jc w:val="right"/>
            </w:pPr>
            <w:r>
              <w:rPr>
                <w:sz w:val="18"/>
              </w:rPr>
              <w:t xml:space="preserve">0.996</w:t>
            </w:r>
          </w:p>
        </w:tc>
        <w:tc>
          <w:tcPr/>
          <w:p>
            <w:pPr>
              <w:pStyle w:val="Compact"/>
              <w:spacing w:line="240" w:lineRule="auto"/>
              <w:jc w:val="right"/>
            </w:pPr>
            <w:r>
              <w:rPr>
                <w:sz w:val="18"/>
              </w:rPr>
              <w:t xml:space="preserve">0.996</w:t>
            </w:r>
          </w:p>
        </w:tc>
        <w:tc>
          <w:tcPr/>
          <w:p>
            <w:pPr>
              <w:pStyle w:val="Compact"/>
              <w:spacing w:line="240" w:lineRule="auto"/>
              <w:jc w:val="right"/>
            </w:pPr>
            <w:r>
              <w:rPr>
                <w:sz w:val="18"/>
              </w:rPr>
              <w:t xml:space="preserve">0.039 [0.031, 0.048]</w:t>
            </w:r>
          </w:p>
        </w:tc>
        <w:tc>
          <w:tcPr/>
          <w:p>
            <w:pPr>
              <w:pStyle w:val="Compact"/>
              <w:spacing w:line="240" w:lineRule="auto"/>
              <w:jc w:val="right"/>
            </w:pPr>
            <w:r>
              <w:rPr>
                <w:sz w:val="18"/>
              </w:rPr>
              <w:t xml:space="preserve">0.029</w:t>
            </w:r>
          </w:p>
        </w:tc>
      </w:tr>
      <w:tr>
        <w:tc>
          <w:tcPr/>
          <w:p>
            <w:pPr>
              <w:pStyle w:val="Compact"/>
              <w:spacing w:line="240" w:lineRule="auto"/>
              <w:jc w:val="left"/>
            </w:pPr>
            <w:r>
              <w:rPr>
                <w:sz w:val="18"/>
              </w:rPr>
              <w:t xml:space="preserve">Excluding straight-liners (n = 207)</w:t>
            </w:r>
          </w:p>
        </w:tc>
        <w:tc>
          <w:tcPr/>
          <w:p>
            <w:pPr>
              <w:pStyle w:val="Compact"/>
              <w:spacing w:line="240" w:lineRule="auto"/>
              <w:jc w:val="left"/>
            </w:pPr>
            <w:r>
              <w:rPr>
                <w:sz w:val="18"/>
              </w:rPr>
              <w:t xml:space="preserve">1-factor</w:t>
            </w:r>
          </w:p>
        </w:tc>
        <w:tc>
          <w:tcPr/>
          <w:p>
            <w:pPr>
              <w:pStyle w:val="Compact"/>
              <w:spacing w:line="240" w:lineRule="auto"/>
              <w:jc w:val="right"/>
            </w:pPr>
            <w:r>
              <w:rPr>
                <w:sz w:val="18"/>
              </w:rPr>
              <w:t xml:space="preserve">508.3</w:t>
            </w:r>
          </w:p>
        </w:tc>
        <w:tc>
          <w:tcPr/>
          <w:p>
            <w:pPr>
              <w:pStyle w:val="Compact"/>
              <w:spacing w:line="240" w:lineRule="auto"/>
              <w:jc w:val="right"/>
            </w:pPr>
            <w:r>
              <w:rPr>
                <w:sz w:val="18"/>
              </w:rPr>
              <w:t xml:space="preserve">170</w:t>
            </w:r>
          </w:p>
        </w:tc>
        <w:tc>
          <w:tcPr/>
          <w:p>
            <w:pPr>
              <w:pStyle w:val="Compact"/>
              <w:spacing w:line="240" w:lineRule="auto"/>
              <w:jc w:val="right"/>
            </w:pPr>
            <w:r>
              <w:rPr>
                <w:sz w:val="18"/>
              </w:rPr>
              <w:t xml:space="preserve">0.966</w:t>
            </w:r>
          </w:p>
        </w:tc>
        <w:tc>
          <w:tcPr/>
          <w:p>
            <w:pPr>
              <w:pStyle w:val="Compact"/>
              <w:spacing w:line="240" w:lineRule="auto"/>
              <w:jc w:val="right"/>
            </w:pPr>
            <w:r>
              <w:rPr>
                <w:sz w:val="18"/>
              </w:rPr>
              <w:t xml:space="preserve">0.962</w:t>
            </w:r>
          </w:p>
        </w:tc>
        <w:tc>
          <w:tcPr/>
          <w:p>
            <w:pPr>
              <w:pStyle w:val="Compact"/>
              <w:spacing w:line="240" w:lineRule="auto"/>
              <w:jc w:val="right"/>
            </w:pPr>
            <w:r>
              <w:rPr>
                <w:sz w:val="18"/>
              </w:rPr>
              <w:t xml:space="preserve">0.098 [0.089, 0.108]</w:t>
            </w:r>
          </w:p>
        </w:tc>
        <w:tc>
          <w:tcPr/>
          <w:p>
            <w:pPr>
              <w:pStyle w:val="Compact"/>
              <w:spacing w:line="240" w:lineRule="auto"/>
              <w:jc w:val="right"/>
            </w:pPr>
            <w:r>
              <w:rPr>
                <w:sz w:val="18"/>
              </w:rPr>
              <w:t xml:space="preserve">0.077</w:t>
            </w:r>
          </w:p>
        </w:tc>
      </w:tr>
      <w:tr>
        <w:tc>
          <w:tcPr/>
          <w:p>
            <w:pPr>
              <w:pStyle w:val="Compact"/>
              <w:spacing w:line="240" w:lineRule="auto"/>
              <w:jc w:val="left"/>
            </w:pPr>
            <w:r>
              <w:rPr>
                <w:sz w:val="18"/>
              </w:rPr>
              <w:t xml:space="preserve">Excluding straight-liners (n = 207)</w:t>
            </w:r>
          </w:p>
        </w:tc>
        <w:tc>
          <w:tcPr/>
          <w:p>
            <w:pPr>
              <w:pStyle w:val="Compact"/>
              <w:spacing w:line="240" w:lineRule="auto"/>
              <w:jc w:val="left"/>
            </w:pPr>
            <w:r>
              <w:rPr>
                <w:sz w:val="18"/>
              </w:rPr>
              <w:t xml:space="preserve">2-factor (SP; CD+IR)</w:t>
            </w:r>
          </w:p>
        </w:tc>
        <w:tc>
          <w:tcPr/>
          <w:p>
            <w:pPr>
              <w:pStyle w:val="Compact"/>
              <w:spacing w:line="240" w:lineRule="auto"/>
              <w:jc w:val="right"/>
            </w:pPr>
            <w:r>
              <w:rPr>
                <w:sz w:val="18"/>
              </w:rPr>
              <w:t xml:space="preserve">292.6</w:t>
            </w:r>
          </w:p>
        </w:tc>
        <w:tc>
          <w:tcPr/>
          <w:p>
            <w:pPr>
              <w:pStyle w:val="Compact"/>
              <w:spacing w:line="240" w:lineRule="auto"/>
              <w:jc w:val="right"/>
            </w:pPr>
            <w:r>
              <w:rPr>
                <w:sz w:val="18"/>
              </w:rPr>
              <w:t xml:space="preserve">169</w:t>
            </w:r>
          </w:p>
        </w:tc>
        <w:tc>
          <w:tcPr/>
          <w:p>
            <w:pPr>
              <w:pStyle w:val="Compact"/>
              <w:spacing w:line="240" w:lineRule="auto"/>
              <w:jc w:val="right"/>
            </w:pPr>
            <w:r>
              <w:rPr>
                <w:sz w:val="18"/>
              </w:rPr>
              <w:t xml:space="preserve">0.988</w:t>
            </w:r>
          </w:p>
        </w:tc>
        <w:tc>
          <w:tcPr/>
          <w:p>
            <w:pPr>
              <w:pStyle w:val="Compact"/>
              <w:spacing w:line="240" w:lineRule="auto"/>
              <w:jc w:val="right"/>
            </w:pPr>
            <w:r>
              <w:rPr>
                <w:sz w:val="18"/>
              </w:rPr>
              <w:t xml:space="preserve">0.986</w:t>
            </w:r>
          </w:p>
        </w:tc>
        <w:tc>
          <w:tcPr/>
          <w:p>
            <w:pPr>
              <w:pStyle w:val="Compact"/>
              <w:spacing w:line="240" w:lineRule="auto"/>
              <w:jc w:val="right"/>
            </w:pPr>
            <w:r>
              <w:rPr>
                <w:sz w:val="18"/>
              </w:rPr>
              <w:t xml:space="preserve">0.060 [0.048, 0.071]</w:t>
            </w:r>
          </w:p>
        </w:tc>
        <w:tc>
          <w:tcPr/>
          <w:p>
            <w:pPr>
              <w:pStyle w:val="Compact"/>
              <w:spacing w:line="240" w:lineRule="auto"/>
              <w:jc w:val="right"/>
            </w:pPr>
            <w:r>
              <w:rPr>
                <w:sz w:val="18"/>
              </w:rPr>
              <w:t xml:space="preserve">0.053</w:t>
            </w:r>
          </w:p>
        </w:tc>
      </w:tr>
      <w:tr>
        <w:tc>
          <w:tcPr/>
          <w:p>
            <w:pPr>
              <w:pStyle w:val="Compact"/>
              <w:spacing w:line="240" w:lineRule="auto"/>
              <w:jc w:val="left"/>
            </w:pPr>
            <w:r>
              <w:rPr>
                <w:sz w:val="18"/>
              </w:rPr>
              <w:t xml:space="preserve">Excluding straight-liners (n = 207)</w:t>
            </w:r>
          </w:p>
        </w:tc>
        <w:tc>
          <w:tcPr/>
          <w:p>
            <w:pPr>
              <w:pStyle w:val="Compact"/>
              <w:spacing w:line="240" w:lineRule="auto"/>
              <w:jc w:val="left"/>
            </w:pPr>
            <w:r>
              <w:rPr>
                <w:sz w:val="18"/>
              </w:rPr>
              <w:t xml:space="preserve">3-factor (SP; CD; IR)</w:t>
            </w:r>
          </w:p>
        </w:tc>
        <w:tc>
          <w:tcPr/>
          <w:p>
            <w:pPr>
              <w:pStyle w:val="Compact"/>
              <w:spacing w:line="240" w:lineRule="auto"/>
              <w:jc w:val="right"/>
            </w:pPr>
            <w:r>
              <w:rPr>
                <w:sz w:val="18"/>
              </w:rPr>
              <w:t xml:space="preserve">282.2</w:t>
            </w:r>
          </w:p>
        </w:tc>
        <w:tc>
          <w:tcPr/>
          <w:p>
            <w:pPr>
              <w:pStyle w:val="Compact"/>
              <w:spacing w:line="240" w:lineRule="auto"/>
              <w:jc w:val="right"/>
            </w:pPr>
            <w:r>
              <w:rPr>
                <w:sz w:val="18"/>
              </w:rPr>
              <w:t xml:space="preserve">167</w:t>
            </w:r>
          </w:p>
        </w:tc>
        <w:tc>
          <w:tcPr/>
          <w:p>
            <w:pPr>
              <w:pStyle w:val="Compact"/>
              <w:spacing w:line="240" w:lineRule="auto"/>
              <w:jc w:val="right"/>
            </w:pPr>
            <w:r>
              <w:rPr>
                <w:sz w:val="18"/>
              </w:rPr>
              <w:t xml:space="preserve">0.988</w:t>
            </w:r>
          </w:p>
        </w:tc>
        <w:tc>
          <w:tcPr/>
          <w:p>
            <w:pPr>
              <w:pStyle w:val="Compact"/>
              <w:spacing w:line="240" w:lineRule="auto"/>
              <w:jc w:val="right"/>
            </w:pPr>
            <w:r>
              <w:rPr>
                <w:sz w:val="18"/>
              </w:rPr>
              <w:t xml:space="preserve">0.987</w:t>
            </w:r>
          </w:p>
        </w:tc>
        <w:tc>
          <w:tcPr/>
          <w:p>
            <w:pPr>
              <w:pStyle w:val="Compact"/>
              <w:spacing w:line="240" w:lineRule="auto"/>
              <w:jc w:val="right"/>
            </w:pPr>
            <w:r>
              <w:rPr>
                <w:sz w:val="18"/>
              </w:rPr>
              <w:t xml:space="preserve">0.058 [0.046, 0.069]</w:t>
            </w:r>
          </w:p>
        </w:tc>
        <w:tc>
          <w:tcPr/>
          <w:p>
            <w:pPr>
              <w:pStyle w:val="Compact"/>
              <w:spacing w:line="240" w:lineRule="auto"/>
              <w:jc w:val="right"/>
            </w:pPr>
            <w:r>
              <w:rPr>
                <w:sz w:val="18"/>
              </w:rPr>
              <w:t xml:space="preserve">0.052</w:t>
            </w:r>
          </w:p>
        </w:tc>
      </w:tr>
    </w:tbl>
    <w:p>
      <w:pPr>
        <w:pStyle w:val="BodyText"/>
      </w:pPr>
      <w:r>
        <w:rPr>
          <w:iCs/>
          <w:i/>
        </w:rPr>
        <w:t xml:space="preserve">b. Reliability and discriminant validity (three-factor model)</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spacing w:line="240" w:lineRule="auto"/>
              <w:jc w:val="left"/>
            </w:pPr>
            <w:r>
              <w:rPr>
                <w:sz w:val="18"/>
              </w:rPr>
              <w:t xml:space="preserve">Sample</w:t>
            </w:r>
          </w:p>
        </w:tc>
        <w:tc>
          <w:tcPr/>
          <w:p>
            <w:pPr>
              <w:pStyle w:val="Compact"/>
              <w:spacing w:line="240" w:lineRule="auto"/>
              <w:jc w:val="left"/>
            </w:pPr>
            <w:r>
              <w:rPr>
                <w:sz w:val="18"/>
              </w:rPr>
              <w:t xml:space="preserve">Construct / pair</w:t>
            </w:r>
          </w:p>
        </w:tc>
        <w:tc>
          <w:tcPr/>
          <w:p>
            <w:pPr>
              <w:pStyle w:val="Compact"/>
              <w:spacing w:line="240" w:lineRule="auto"/>
              <w:jc w:val="right"/>
            </w:pPr>
            <w:r>
              <w:rPr>
                <w:sz w:val="18"/>
              </w:rPr>
              <w:t xml:space="preserve">CR</w:t>
            </w:r>
          </w:p>
        </w:tc>
        <w:tc>
          <w:tcPr/>
          <w:p>
            <w:pPr>
              <w:pStyle w:val="Compact"/>
              <w:spacing w:line="240" w:lineRule="auto"/>
              <w:jc w:val="right"/>
            </w:pPr>
            <w:r>
              <w:rPr>
                <w:sz w:val="18"/>
              </w:rPr>
              <w:t xml:space="preserve">AVE</w:t>
            </w:r>
          </w:p>
        </w:tc>
        <w:tc>
          <w:tcPr/>
          <w:p>
            <w:pPr>
              <w:pStyle w:val="Compact"/>
              <w:spacing w:line="240" w:lineRule="auto"/>
              <w:jc w:val="right"/>
            </w:pPr>
            <w:r>
              <w:rPr>
                <w:sz w:val="18"/>
              </w:rPr>
              <w:t xml:space="preserve">Latent r</w:t>
            </w:r>
          </w:p>
        </w:tc>
        <w:tc>
          <w:tcPr/>
          <w:p>
            <w:pPr>
              <w:pStyle w:val="Compact"/>
              <w:spacing w:line="240" w:lineRule="auto"/>
              <w:jc w:val="right"/>
            </w:pPr>
            <w:r>
              <w:rPr>
                <w:sz w:val="18"/>
              </w:rPr>
              <w:t xml:space="preserve">95% CI</w:t>
            </w:r>
          </w:p>
        </w:tc>
        <w:tc>
          <w:tcPr/>
          <w:p>
            <w:pPr>
              <w:pStyle w:val="Compact"/>
              <w:spacing w:line="240" w:lineRule="auto"/>
              <w:jc w:val="right"/>
            </w:pPr>
            <w:r>
              <w:rPr>
                <w:sz w:val="18"/>
              </w:rPr>
              <w:t xml:space="preserve">HTMT</w:t>
            </w:r>
          </w:p>
        </w:tc>
      </w:tr>
      <w:tr>
        <w:tc>
          <w:tcPr/>
          <w:p>
            <w:pPr>
              <w:pStyle w:val="Compact"/>
              <w:spacing w:line="240" w:lineRule="auto"/>
              <w:jc w:val="left"/>
            </w:pPr>
            <w:r>
              <w:rPr>
                <w:sz w:val="18"/>
              </w:rPr>
              <w:t xml:space="preserve">Full sample</w:t>
            </w:r>
          </w:p>
        </w:tc>
        <w:tc>
          <w:tcPr/>
          <w:p>
            <w:pPr>
              <w:pStyle w:val="Compact"/>
              <w:spacing w:line="240" w:lineRule="auto"/>
              <w:jc w:val="left"/>
            </w:pPr>
            <w:r>
              <w:rPr>
                <w:sz w:val="18"/>
              </w:rPr>
              <w:t xml:space="preserve">SP</w:t>
            </w:r>
          </w:p>
        </w:tc>
        <w:tc>
          <w:tcPr/>
          <w:p>
            <w:pPr>
              <w:pStyle w:val="Compact"/>
              <w:spacing w:line="240" w:lineRule="auto"/>
              <w:jc w:val="right"/>
            </w:pPr>
            <w:r>
              <w:rPr>
                <w:sz w:val="18"/>
              </w:rPr>
              <w:t xml:space="preserve">0.96</w:t>
            </w:r>
          </w:p>
        </w:tc>
        <w:tc>
          <w:tcPr/>
          <w:p>
            <w:pPr>
              <w:pStyle w:val="Compact"/>
              <w:spacing w:line="240" w:lineRule="auto"/>
              <w:jc w:val="right"/>
            </w:pPr>
            <w:r>
              <w:rPr>
                <w:sz w:val="18"/>
              </w:rPr>
              <w:t xml:space="preserve">0.84</w:t>
            </w: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left"/>
            </w:pPr>
            <w:r>
              <w:rPr>
                <w:sz w:val="18"/>
              </w:rPr>
              <w:t xml:space="preserve">Full sample</w:t>
            </w:r>
          </w:p>
        </w:tc>
        <w:tc>
          <w:tcPr/>
          <w:p>
            <w:pPr>
              <w:pStyle w:val="Compact"/>
              <w:spacing w:line="240" w:lineRule="auto"/>
              <w:jc w:val="left"/>
            </w:pPr>
            <w:r>
              <w:rPr>
                <w:sz w:val="18"/>
              </w:rPr>
              <w:t xml:space="preserve">CD</w:t>
            </w:r>
          </w:p>
        </w:tc>
        <w:tc>
          <w:tcPr/>
          <w:p>
            <w:pPr>
              <w:pStyle w:val="Compact"/>
              <w:spacing w:line="240" w:lineRule="auto"/>
              <w:jc w:val="right"/>
            </w:pPr>
            <w:r>
              <w:rPr>
                <w:sz w:val="18"/>
              </w:rPr>
              <w:t xml:space="preserve">0.96</w:t>
            </w:r>
          </w:p>
        </w:tc>
        <w:tc>
          <w:tcPr/>
          <w:p>
            <w:pPr>
              <w:pStyle w:val="Compact"/>
              <w:spacing w:line="240" w:lineRule="auto"/>
              <w:jc w:val="right"/>
            </w:pPr>
            <w:r>
              <w:rPr>
                <w:sz w:val="18"/>
              </w:rPr>
              <w:t xml:space="preserve">0.90</w:t>
            </w: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left"/>
            </w:pPr>
            <w:r>
              <w:rPr>
                <w:sz w:val="18"/>
              </w:rPr>
              <w:t xml:space="preserve">Full sample</w:t>
            </w:r>
          </w:p>
        </w:tc>
        <w:tc>
          <w:tcPr/>
          <w:p>
            <w:pPr>
              <w:pStyle w:val="Compact"/>
              <w:spacing w:line="240" w:lineRule="auto"/>
              <w:jc w:val="left"/>
            </w:pPr>
            <w:r>
              <w:rPr>
                <w:sz w:val="18"/>
              </w:rPr>
              <w:t xml:space="preserve">IR</w:t>
            </w:r>
          </w:p>
        </w:tc>
        <w:tc>
          <w:tcPr/>
          <w:p>
            <w:pPr>
              <w:pStyle w:val="Compact"/>
              <w:spacing w:line="240" w:lineRule="auto"/>
              <w:jc w:val="right"/>
            </w:pPr>
            <w:r>
              <w:rPr>
                <w:sz w:val="18"/>
              </w:rPr>
              <w:t xml:space="preserve">0.94</w:t>
            </w:r>
          </w:p>
        </w:tc>
        <w:tc>
          <w:tcPr/>
          <w:p>
            <w:pPr>
              <w:pStyle w:val="Compact"/>
              <w:spacing w:line="240" w:lineRule="auto"/>
              <w:jc w:val="right"/>
            </w:pPr>
            <w:r>
              <w:rPr>
                <w:sz w:val="18"/>
              </w:rPr>
              <w:t xml:space="preserve">0.86</w:t>
            </w: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left"/>
            </w:pPr>
            <w:r>
              <w:rPr>
                <w:sz w:val="18"/>
              </w:rPr>
              <w:t xml:space="preserve">Full sample</w:t>
            </w:r>
          </w:p>
        </w:tc>
        <w:tc>
          <w:tcPr/>
          <w:p>
            <w:pPr>
              <w:pStyle w:val="Compact"/>
              <w:spacing w:line="240" w:lineRule="auto"/>
              <w:jc w:val="left"/>
            </w:pPr>
            <w:r>
              <w:rPr>
                <w:sz w:val="18"/>
              </w:rPr>
              <w:t xml:space="preserve">SP–CD</w:t>
            </w:r>
          </w:p>
        </w:tc>
        <w:tc>
          <w:tcPr/>
          <w:p>
            <w:pPr>
              <w:pStyle w:val="Compact"/>
              <w:spacing w:line="240" w:lineRule="auto"/>
            </w:pPr>
          </w:p>
        </w:tc>
        <w:tc>
          <w:tcPr/>
          <w:p>
            <w:pPr>
              <w:pStyle w:val="Compact"/>
              <w:spacing w:line="240" w:lineRule="auto"/>
            </w:pPr>
          </w:p>
        </w:tc>
        <w:tc>
          <w:tcPr/>
          <w:p>
            <w:pPr>
              <w:pStyle w:val="Compact"/>
              <w:spacing w:line="240" w:lineRule="auto"/>
              <w:jc w:val="right"/>
            </w:pPr>
            <w:r>
              <w:rPr>
                <w:sz w:val="18"/>
              </w:rPr>
              <w:t xml:space="preserve">0.92</w:t>
            </w:r>
          </w:p>
        </w:tc>
        <w:tc>
          <w:tcPr/>
          <w:p>
            <w:pPr>
              <w:pStyle w:val="Compact"/>
              <w:spacing w:line="240" w:lineRule="auto"/>
              <w:jc w:val="right"/>
            </w:pPr>
            <w:r>
              <w:rPr>
                <w:sz w:val="18"/>
              </w:rPr>
              <w:t xml:space="preserve">[0.90, 0.95]</w:t>
            </w:r>
          </w:p>
        </w:tc>
        <w:tc>
          <w:tcPr/>
          <w:p>
            <w:pPr>
              <w:pStyle w:val="Compact"/>
              <w:spacing w:line="240" w:lineRule="auto"/>
              <w:jc w:val="right"/>
            </w:pPr>
            <w:r>
              <w:rPr>
                <w:sz w:val="18"/>
              </w:rPr>
              <w:t xml:space="preserve">0.93</w:t>
            </w:r>
          </w:p>
        </w:tc>
      </w:tr>
      <w:tr>
        <w:tc>
          <w:tcPr/>
          <w:p>
            <w:pPr>
              <w:pStyle w:val="Compact"/>
              <w:spacing w:line="240" w:lineRule="auto"/>
              <w:jc w:val="left"/>
            </w:pPr>
            <w:r>
              <w:rPr>
                <w:sz w:val="18"/>
              </w:rPr>
              <w:t xml:space="preserve">Full sample</w:t>
            </w:r>
          </w:p>
        </w:tc>
        <w:tc>
          <w:tcPr/>
          <w:p>
            <w:pPr>
              <w:pStyle w:val="Compact"/>
              <w:spacing w:line="240" w:lineRule="auto"/>
              <w:jc w:val="left"/>
            </w:pPr>
            <w:r>
              <w:rPr>
                <w:sz w:val="18"/>
              </w:rPr>
              <w:t xml:space="preserve">SP–IR</w:t>
            </w:r>
          </w:p>
        </w:tc>
        <w:tc>
          <w:tcPr/>
          <w:p>
            <w:pPr>
              <w:pStyle w:val="Compact"/>
              <w:spacing w:line="240" w:lineRule="auto"/>
            </w:pPr>
          </w:p>
        </w:tc>
        <w:tc>
          <w:tcPr/>
          <w:p>
            <w:pPr>
              <w:pStyle w:val="Compact"/>
              <w:spacing w:line="240" w:lineRule="auto"/>
            </w:pPr>
          </w:p>
        </w:tc>
        <w:tc>
          <w:tcPr/>
          <w:p>
            <w:pPr>
              <w:pStyle w:val="Compact"/>
              <w:spacing w:line="240" w:lineRule="auto"/>
              <w:jc w:val="right"/>
            </w:pPr>
            <w:r>
              <w:rPr>
                <w:sz w:val="18"/>
              </w:rPr>
              <w:t xml:space="preserve">0.91</w:t>
            </w:r>
          </w:p>
        </w:tc>
        <w:tc>
          <w:tcPr/>
          <w:p>
            <w:pPr>
              <w:pStyle w:val="Compact"/>
              <w:spacing w:line="240" w:lineRule="auto"/>
              <w:jc w:val="right"/>
            </w:pPr>
            <w:r>
              <w:rPr>
                <w:sz w:val="18"/>
              </w:rPr>
              <w:t xml:space="preserve">[0.87, 0.94]</w:t>
            </w:r>
          </w:p>
        </w:tc>
        <w:tc>
          <w:tcPr/>
          <w:p>
            <w:pPr>
              <w:pStyle w:val="Compact"/>
              <w:spacing w:line="240" w:lineRule="auto"/>
              <w:jc w:val="right"/>
            </w:pPr>
            <w:r>
              <w:rPr>
                <w:sz w:val="18"/>
              </w:rPr>
              <w:t xml:space="preserve">0.91</w:t>
            </w:r>
          </w:p>
        </w:tc>
      </w:tr>
      <w:tr>
        <w:tc>
          <w:tcPr/>
          <w:p>
            <w:pPr>
              <w:pStyle w:val="Compact"/>
              <w:spacing w:line="240" w:lineRule="auto"/>
              <w:jc w:val="left"/>
            </w:pPr>
            <w:r>
              <w:rPr>
                <w:sz w:val="18"/>
              </w:rPr>
              <w:t xml:space="preserve">Full sample</w:t>
            </w:r>
          </w:p>
        </w:tc>
        <w:tc>
          <w:tcPr/>
          <w:p>
            <w:pPr>
              <w:pStyle w:val="Compact"/>
              <w:spacing w:line="240" w:lineRule="auto"/>
              <w:jc w:val="left"/>
            </w:pPr>
            <w:r>
              <w:rPr>
                <w:sz w:val="18"/>
              </w:rPr>
              <w:t xml:space="preserve">CD–IR</w:t>
            </w:r>
          </w:p>
        </w:tc>
        <w:tc>
          <w:tcPr/>
          <w:p>
            <w:pPr>
              <w:pStyle w:val="Compact"/>
              <w:spacing w:line="240" w:lineRule="auto"/>
            </w:pPr>
          </w:p>
        </w:tc>
        <w:tc>
          <w:tcPr/>
          <w:p>
            <w:pPr>
              <w:pStyle w:val="Compact"/>
              <w:spacing w:line="240" w:lineRule="auto"/>
            </w:pPr>
          </w:p>
        </w:tc>
        <w:tc>
          <w:tcPr/>
          <w:p>
            <w:pPr>
              <w:pStyle w:val="Compact"/>
              <w:spacing w:line="240" w:lineRule="auto"/>
              <w:jc w:val="right"/>
            </w:pPr>
            <w:r>
              <w:rPr>
                <w:sz w:val="18"/>
              </w:rPr>
              <w:t xml:space="preserve">0.97</w:t>
            </w:r>
          </w:p>
        </w:tc>
        <w:tc>
          <w:tcPr/>
          <w:p>
            <w:pPr>
              <w:pStyle w:val="Compact"/>
              <w:spacing w:line="240" w:lineRule="auto"/>
              <w:jc w:val="right"/>
            </w:pPr>
            <w:r>
              <w:rPr>
                <w:sz w:val="18"/>
              </w:rPr>
              <w:t xml:space="preserve">[0.96, 0.99]</w:t>
            </w:r>
          </w:p>
        </w:tc>
        <w:tc>
          <w:tcPr/>
          <w:p>
            <w:pPr>
              <w:pStyle w:val="Compact"/>
              <w:spacing w:line="240" w:lineRule="auto"/>
              <w:jc w:val="right"/>
            </w:pPr>
            <w:r>
              <w:rPr>
                <w:sz w:val="18"/>
              </w:rPr>
              <w:t xml:space="preserve">0.98</w:t>
            </w:r>
          </w:p>
        </w:tc>
      </w:tr>
      <w:tr>
        <w:tc>
          <w:tcPr/>
          <w:p>
            <w:pPr>
              <w:pStyle w:val="Compact"/>
              <w:spacing w:line="240" w:lineRule="auto"/>
              <w:jc w:val="left"/>
            </w:pPr>
            <w:r>
              <w:rPr>
                <w:sz w:val="18"/>
              </w:rPr>
              <w:t xml:space="preserve">Excluding straight-liners</w:t>
            </w:r>
          </w:p>
        </w:tc>
        <w:tc>
          <w:tcPr/>
          <w:p>
            <w:pPr>
              <w:pStyle w:val="Compact"/>
              <w:spacing w:line="240" w:lineRule="auto"/>
              <w:jc w:val="left"/>
            </w:pPr>
            <w:r>
              <w:rPr>
                <w:sz w:val="18"/>
              </w:rPr>
              <w:t xml:space="preserve">SP</w:t>
            </w:r>
          </w:p>
        </w:tc>
        <w:tc>
          <w:tcPr/>
          <w:p>
            <w:pPr>
              <w:pStyle w:val="Compact"/>
              <w:spacing w:line="240" w:lineRule="auto"/>
              <w:jc w:val="right"/>
            </w:pPr>
            <w:r>
              <w:rPr>
                <w:sz w:val="18"/>
              </w:rPr>
              <w:t xml:space="preserve">0.93</w:t>
            </w:r>
          </w:p>
        </w:tc>
        <w:tc>
          <w:tcPr/>
          <w:p>
            <w:pPr>
              <w:pStyle w:val="Compact"/>
              <w:spacing w:line="240" w:lineRule="auto"/>
              <w:jc w:val="right"/>
            </w:pPr>
            <w:r>
              <w:rPr>
                <w:sz w:val="18"/>
              </w:rPr>
              <w:t xml:space="preserve">0.71</w:t>
            </w: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left"/>
            </w:pPr>
            <w:r>
              <w:rPr>
                <w:sz w:val="18"/>
              </w:rPr>
              <w:t xml:space="preserve">Excluding straight-liners</w:t>
            </w:r>
          </w:p>
        </w:tc>
        <w:tc>
          <w:tcPr/>
          <w:p>
            <w:pPr>
              <w:pStyle w:val="Compact"/>
              <w:spacing w:line="240" w:lineRule="auto"/>
              <w:jc w:val="left"/>
            </w:pPr>
            <w:r>
              <w:rPr>
                <w:sz w:val="18"/>
              </w:rPr>
              <w:t xml:space="preserve">CD</w:t>
            </w:r>
          </w:p>
        </w:tc>
        <w:tc>
          <w:tcPr/>
          <w:p>
            <w:pPr>
              <w:pStyle w:val="Compact"/>
              <w:spacing w:line="240" w:lineRule="auto"/>
              <w:jc w:val="right"/>
            </w:pPr>
            <w:r>
              <w:rPr>
                <w:sz w:val="18"/>
              </w:rPr>
              <w:t xml:space="preserve">0.95</w:t>
            </w:r>
          </w:p>
        </w:tc>
        <w:tc>
          <w:tcPr/>
          <w:p>
            <w:pPr>
              <w:pStyle w:val="Compact"/>
              <w:spacing w:line="240" w:lineRule="auto"/>
              <w:jc w:val="right"/>
            </w:pPr>
            <w:r>
              <w:rPr>
                <w:sz w:val="18"/>
              </w:rPr>
              <w:t xml:space="preserve">0.82</w:t>
            </w: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left"/>
            </w:pPr>
            <w:r>
              <w:rPr>
                <w:sz w:val="18"/>
              </w:rPr>
              <w:t xml:space="preserve">Excluding straight-liners</w:t>
            </w:r>
          </w:p>
        </w:tc>
        <w:tc>
          <w:tcPr/>
          <w:p>
            <w:pPr>
              <w:pStyle w:val="Compact"/>
              <w:spacing w:line="240" w:lineRule="auto"/>
              <w:jc w:val="left"/>
            </w:pPr>
            <w:r>
              <w:rPr>
                <w:sz w:val="18"/>
              </w:rPr>
              <w:t xml:space="preserve">IR</w:t>
            </w:r>
          </w:p>
        </w:tc>
        <w:tc>
          <w:tcPr/>
          <w:p>
            <w:pPr>
              <w:pStyle w:val="Compact"/>
              <w:spacing w:line="240" w:lineRule="auto"/>
              <w:jc w:val="right"/>
            </w:pPr>
            <w:r>
              <w:rPr>
                <w:sz w:val="18"/>
              </w:rPr>
              <w:t xml:space="preserve">0.91</w:t>
            </w:r>
          </w:p>
        </w:tc>
        <w:tc>
          <w:tcPr/>
          <w:p>
            <w:pPr>
              <w:pStyle w:val="Compact"/>
              <w:spacing w:line="240" w:lineRule="auto"/>
              <w:jc w:val="right"/>
            </w:pPr>
            <w:r>
              <w:rPr>
                <w:sz w:val="18"/>
              </w:rPr>
              <w:t xml:space="preserve">0.75</w:t>
            </w: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left"/>
            </w:pPr>
            <w:r>
              <w:rPr>
                <w:sz w:val="18"/>
              </w:rPr>
              <w:t xml:space="preserve">Excluding straight-liners</w:t>
            </w:r>
          </w:p>
        </w:tc>
        <w:tc>
          <w:tcPr/>
          <w:p>
            <w:pPr>
              <w:pStyle w:val="Compact"/>
              <w:spacing w:line="240" w:lineRule="auto"/>
              <w:jc w:val="left"/>
            </w:pPr>
            <w:r>
              <w:rPr>
                <w:sz w:val="18"/>
              </w:rPr>
              <w:t xml:space="preserve">SP–CD</w:t>
            </w:r>
          </w:p>
        </w:tc>
        <w:tc>
          <w:tcPr/>
          <w:p>
            <w:pPr>
              <w:pStyle w:val="Compact"/>
              <w:spacing w:line="240" w:lineRule="auto"/>
            </w:pPr>
          </w:p>
        </w:tc>
        <w:tc>
          <w:tcPr/>
          <w:p>
            <w:pPr>
              <w:pStyle w:val="Compact"/>
              <w:spacing w:line="240" w:lineRule="auto"/>
            </w:pPr>
          </w:p>
        </w:tc>
        <w:tc>
          <w:tcPr/>
          <w:p>
            <w:pPr>
              <w:pStyle w:val="Compact"/>
              <w:spacing w:line="240" w:lineRule="auto"/>
              <w:jc w:val="right"/>
            </w:pPr>
            <w:r>
              <w:rPr>
                <w:sz w:val="18"/>
              </w:rPr>
              <w:t xml:space="preserve">0.85</w:t>
            </w:r>
          </w:p>
        </w:tc>
        <w:tc>
          <w:tcPr/>
          <w:p>
            <w:pPr>
              <w:pStyle w:val="Compact"/>
              <w:spacing w:line="240" w:lineRule="auto"/>
              <w:jc w:val="right"/>
            </w:pPr>
            <w:r>
              <w:rPr>
                <w:sz w:val="18"/>
              </w:rPr>
              <w:t xml:space="preserve">[0.80, 0.89]</w:t>
            </w:r>
          </w:p>
        </w:tc>
        <w:tc>
          <w:tcPr/>
          <w:p>
            <w:pPr>
              <w:pStyle w:val="Compact"/>
              <w:spacing w:line="240" w:lineRule="auto"/>
              <w:jc w:val="right"/>
            </w:pPr>
            <w:r>
              <w:rPr>
                <w:sz w:val="18"/>
              </w:rPr>
              <w:t xml:space="preserve">0.86</w:t>
            </w:r>
          </w:p>
        </w:tc>
      </w:tr>
      <w:tr>
        <w:tc>
          <w:tcPr/>
          <w:p>
            <w:pPr>
              <w:pStyle w:val="Compact"/>
              <w:spacing w:line="240" w:lineRule="auto"/>
              <w:jc w:val="left"/>
            </w:pPr>
            <w:r>
              <w:rPr>
                <w:sz w:val="18"/>
              </w:rPr>
              <w:t xml:space="preserve">Excluding straight-liners</w:t>
            </w:r>
          </w:p>
        </w:tc>
        <w:tc>
          <w:tcPr/>
          <w:p>
            <w:pPr>
              <w:pStyle w:val="Compact"/>
              <w:spacing w:line="240" w:lineRule="auto"/>
              <w:jc w:val="left"/>
            </w:pPr>
            <w:r>
              <w:rPr>
                <w:sz w:val="18"/>
              </w:rPr>
              <w:t xml:space="preserve">SP–IR</w:t>
            </w:r>
          </w:p>
        </w:tc>
        <w:tc>
          <w:tcPr/>
          <w:p>
            <w:pPr>
              <w:pStyle w:val="Compact"/>
              <w:spacing w:line="240" w:lineRule="auto"/>
            </w:pPr>
          </w:p>
        </w:tc>
        <w:tc>
          <w:tcPr/>
          <w:p>
            <w:pPr>
              <w:pStyle w:val="Compact"/>
              <w:spacing w:line="240" w:lineRule="auto"/>
            </w:pPr>
          </w:p>
        </w:tc>
        <w:tc>
          <w:tcPr/>
          <w:p>
            <w:pPr>
              <w:pStyle w:val="Compact"/>
              <w:spacing w:line="240" w:lineRule="auto"/>
              <w:jc w:val="right"/>
            </w:pPr>
            <w:r>
              <w:rPr>
                <w:sz w:val="18"/>
              </w:rPr>
              <w:t xml:space="preserve">0.81</w:t>
            </w:r>
          </w:p>
        </w:tc>
        <w:tc>
          <w:tcPr/>
          <w:p>
            <w:pPr>
              <w:pStyle w:val="Compact"/>
              <w:spacing w:line="240" w:lineRule="auto"/>
              <w:jc w:val="right"/>
            </w:pPr>
            <w:r>
              <w:rPr>
                <w:sz w:val="18"/>
              </w:rPr>
              <w:t xml:space="preserve">[0.75, 0.87]</w:t>
            </w:r>
          </w:p>
        </w:tc>
        <w:tc>
          <w:tcPr/>
          <w:p>
            <w:pPr>
              <w:pStyle w:val="Compact"/>
              <w:spacing w:line="240" w:lineRule="auto"/>
              <w:jc w:val="right"/>
            </w:pPr>
            <w:r>
              <w:rPr>
                <w:sz w:val="18"/>
              </w:rPr>
              <w:t xml:space="preserve">0.81</w:t>
            </w:r>
          </w:p>
        </w:tc>
      </w:tr>
      <w:tr>
        <w:tc>
          <w:tcPr/>
          <w:p>
            <w:pPr>
              <w:pStyle w:val="Compact"/>
              <w:spacing w:line="240" w:lineRule="auto"/>
              <w:jc w:val="left"/>
            </w:pPr>
            <w:r>
              <w:rPr>
                <w:sz w:val="18"/>
              </w:rPr>
              <w:t xml:space="preserve">Excluding straight-liners</w:t>
            </w:r>
          </w:p>
        </w:tc>
        <w:tc>
          <w:tcPr/>
          <w:p>
            <w:pPr>
              <w:pStyle w:val="Compact"/>
              <w:spacing w:line="240" w:lineRule="auto"/>
              <w:jc w:val="left"/>
            </w:pPr>
            <w:r>
              <w:rPr>
                <w:sz w:val="18"/>
              </w:rPr>
              <w:t xml:space="preserve">CD–IR</w:t>
            </w:r>
          </w:p>
        </w:tc>
        <w:tc>
          <w:tcPr/>
          <w:p>
            <w:pPr>
              <w:pStyle w:val="Compact"/>
              <w:spacing w:line="240" w:lineRule="auto"/>
            </w:pPr>
          </w:p>
        </w:tc>
        <w:tc>
          <w:tcPr/>
          <w:p>
            <w:pPr>
              <w:pStyle w:val="Compact"/>
              <w:spacing w:line="240" w:lineRule="auto"/>
            </w:pPr>
          </w:p>
        </w:tc>
        <w:tc>
          <w:tcPr/>
          <w:p>
            <w:pPr>
              <w:pStyle w:val="Compact"/>
              <w:spacing w:line="240" w:lineRule="auto"/>
              <w:jc w:val="right"/>
            </w:pPr>
            <w:r>
              <w:rPr>
                <w:sz w:val="18"/>
              </w:rPr>
              <w:t xml:space="preserve">0.94</w:t>
            </w:r>
          </w:p>
        </w:tc>
        <w:tc>
          <w:tcPr/>
          <w:p>
            <w:pPr>
              <w:pStyle w:val="Compact"/>
              <w:spacing w:line="240" w:lineRule="auto"/>
              <w:jc w:val="right"/>
            </w:pPr>
            <w:r>
              <w:rPr>
                <w:sz w:val="18"/>
              </w:rPr>
              <w:t xml:space="preserve">[0.91, 0.98]</w:t>
            </w:r>
          </w:p>
        </w:tc>
        <w:tc>
          <w:tcPr/>
          <w:p>
            <w:pPr>
              <w:pStyle w:val="Compact"/>
              <w:spacing w:line="240" w:lineRule="auto"/>
              <w:jc w:val="right"/>
            </w:pPr>
            <w:r>
              <w:rPr>
                <w:sz w:val="18"/>
              </w:rPr>
              <w:t xml:space="preserve">0.96</w:t>
            </w:r>
          </w:p>
        </w:tc>
      </w:tr>
    </w:tbl>
    <w:p>
      <w:pPr>
        <w:pStyle w:val="BodyText"/>
      </w:pPr>
      <w:r>
        <w:t xml:space="preserve">Ordinal CFA, WLSMV estimator; χ² and fit indices are scaled. Scaled χ² difference tests (full sample): three- versus two-factor Δχ² = 8.5, Δdf = 2, P = 0.015; three- versus one-factor Δχ² = 68.7, Δdf = 3, P &lt; 0.001. Results for screened respondents and after excluding repeat profiles are in the repository (outputs/). CR, composite reliability; AVE, average variance extracted; HTMT, heterotrait–monotrait ratio (polychoric).</w:t>
      </w:r>
    </w:p>
    <w:p>
      <w:pPr>
        <w:pStyle w:val="BodyText"/>
      </w:pPr>
      <w:r>
        <w:rPr>
          <w:bCs/>
          <w:b/>
        </w:rPr>
        <w:t xml:space="preserve">Table 4</w:t>
      </w:r>
      <w:r>
        <w:t xml:space="preserve"> </w:t>
      </w:r>
      <w:r>
        <w:t xml:space="preserve">Mediation of the association between strategic planning and institutional resilience by capacity development (full sample)</w:t>
      </w:r>
    </w:p>
    <w:p>
      <w:pPr>
        <w:pStyle w:val="BodyText"/>
      </w:pPr>
      <w:r>
        <w:rPr>
          <w:iCs/>
          <w:i/>
        </w:rPr>
        <w:t xml:space="preserve">a. Latent structural equation model (standardised WLSMV estimates)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jc w:val="left"/>
            </w:pPr>
            <w:r>
              <w:rPr>
                <w:sz w:val="18"/>
              </w:rPr>
              <w:t xml:space="preserve">Path</w:t>
            </w:r>
          </w:p>
        </w:tc>
        <w:tc>
          <w:tcPr/>
          <w:p>
            <w:pPr>
              <w:pStyle w:val="Compact"/>
              <w:spacing w:line="240" w:lineRule="auto"/>
              <w:jc w:val="right"/>
            </w:pPr>
            <w:r>
              <w:rPr>
                <w:sz w:val="18"/>
              </w:rPr>
              <w:t xml:space="preserve">β</w:t>
            </w:r>
          </w:p>
        </w:tc>
        <w:tc>
          <w:tcPr/>
          <w:p>
            <w:pPr>
              <w:pStyle w:val="Compact"/>
              <w:spacing w:line="240" w:lineRule="auto"/>
              <w:jc w:val="left"/>
            </w:pPr>
            <w:r>
              <w:rPr>
                <w:sz w:val="18"/>
              </w:rPr>
              <w:t xml:space="preserve">95% Monte Carlo CI</w:t>
            </w:r>
          </w:p>
        </w:tc>
        <w:tc>
          <w:tcPr/>
          <w:p>
            <w:pPr>
              <w:pStyle w:val="Compact"/>
              <w:spacing w:line="240" w:lineRule="auto"/>
              <w:jc w:val="left"/>
            </w:pPr>
            <w:r>
              <w:rPr>
                <w:sz w:val="18"/>
              </w:rPr>
              <w:t xml:space="preserve">P</w:t>
            </w:r>
          </w:p>
        </w:tc>
      </w:tr>
      <w:tr>
        <w:tc>
          <w:tcPr/>
          <w:p>
            <w:pPr>
              <w:pStyle w:val="Compact"/>
              <w:spacing w:line="240" w:lineRule="auto"/>
              <w:jc w:val="left"/>
            </w:pPr>
            <w:r>
              <w:rPr>
                <w:sz w:val="18"/>
              </w:rPr>
              <w:t xml:space="preserve">a: SP → CD</w:t>
            </w:r>
          </w:p>
        </w:tc>
        <w:tc>
          <w:tcPr/>
          <w:p>
            <w:pPr>
              <w:pStyle w:val="Compact"/>
              <w:spacing w:line="240" w:lineRule="auto"/>
              <w:jc w:val="right"/>
            </w:pPr>
            <w:r>
              <w:rPr>
                <w:sz w:val="18"/>
              </w:rPr>
              <w:t xml:space="preserve">0.92</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&lt; 0.001</w:t>
            </w:r>
          </w:p>
        </w:tc>
      </w:tr>
      <w:tr>
        <w:tc>
          <w:tcPr/>
          <w:p>
            <w:pPr>
              <w:pStyle w:val="Compact"/>
              <w:spacing w:line="240" w:lineRule="auto"/>
              <w:jc w:val="left"/>
            </w:pPr>
            <w:r>
              <w:rPr>
                <w:sz w:val="18"/>
              </w:rPr>
              <w:t xml:space="preserve">b: CD → IR (SP held constant)</w:t>
            </w:r>
          </w:p>
        </w:tc>
        <w:tc>
          <w:tcPr/>
          <w:p>
            <w:pPr>
              <w:pStyle w:val="Compact"/>
              <w:spacing w:line="240" w:lineRule="auto"/>
              <w:jc w:val="right"/>
            </w:pPr>
            <w:r>
              <w:rPr>
                <w:sz w:val="18"/>
              </w:rPr>
              <w:t xml:space="preserve">0.92</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&lt; 0.001</w:t>
            </w:r>
          </w:p>
        </w:tc>
      </w:tr>
      <w:tr>
        <w:tc>
          <w:tcPr/>
          <w:p>
            <w:pPr>
              <w:pStyle w:val="Compact"/>
              <w:spacing w:line="240" w:lineRule="auto"/>
              <w:jc w:val="left"/>
            </w:pPr>
            <w:r>
              <w:rPr>
                <w:sz w:val="18"/>
              </w:rPr>
              <w:t xml:space="preserve">c′: SP → IR (CD held constant)</w:t>
            </w:r>
          </w:p>
        </w:tc>
        <w:tc>
          <w:tcPr/>
          <w:p>
            <w:pPr>
              <w:pStyle w:val="Compact"/>
              <w:spacing w:line="240" w:lineRule="auto"/>
              <w:jc w:val="right"/>
            </w:pPr>
            <w:r>
              <w:rPr>
                <w:sz w:val="18"/>
              </w:rPr>
              <w:t xml:space="preserve">0.06</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0.464</w:t>
            </w:r>
          </w:p>
        </w:tc>
      </w:tr>
      <w:tr>
        <w:tc>
          <w:tcPr/>
          <w:p>
            <w:pPr>
              <w:pStyle w:val="Compact"/>
              <w:spacing w:line="240" w:lineRule="auto"/>
              <w:jc w:val="left"/>
            </w:pPr>
            <w:r>
              <w:rPr>
                <w:sz w:val="18"/>
              </w:rPr>
              <w:t xml:space="preserve">Indirect effect (a × b)</w:t>
            </w:r>
          </w:p>
        </w:tc>
        <w:tc>
          <w:tcPr/>
          <w:p>
            <w:pPr>
              <w:pStyle w:val="Compact"/>
              <w:spacing w:line="240" w:lineRule="auto"/>
              <w:jc w:val="right"/>
            </w:pPr>
            <w:r>
              <w:rPr>
                <w:sz w:val="18"/>
              </w:rPr>
              <w:t xml:space="preserve">0.84</w:t>
            </w:r>
          </w:p>
        </w:tc>
        <w:tc>
          <w:tcPr/>
          <w:p>
            <w:pPr>
              <w:pStyle w:val="Compact"/>
              <w:spacing w:line="240" w:lineRule="auto"/>
              <w:jc w:val="left"/>
            </w:pPr>
            <w:r>
              <w:rPr>
                <w:sz w:val="18"/>
              </w:rPr>
              <w:t xml:space="preserve">[0.69, 1.00]</w:t>
            </w:r>
          </w:p>
        </w:tc>
        <w:tc>
          <w:tcPr/>
          <w:p>
            <w:pPr>
              <w:pStyle w:val="Compact"/>
              <w:spacing w:line="240" w:lineRule="auto"/>
              <w:jc w:val="left"/>
            </w:pPr>
            <w:r>
              <w:rPr>
                <w:sz w:val="18"/>
              </w:rPr>
              <w:t xml:space="preserve">&lt; 0.001</w:t>
            </w:r>
          </w:p>
        </w:tc>
      </w:tr>
      <w:tr>
        <w:tc>
          <w:tcPr/>
          <w:p>
            <w:pPr>
              <w:pStyle w:val="Compact"/>
              <w:spacing w:line="240" w:lineRule="auto"/>
              <w:jc w:val="left"/>
            </w:pPr>
            <w:r>
              <w:rPr>
                <w:sz w:val="18"/>
              </w:rPr>
              <w:t xml:space="preserve">Total effect (c)</w:t>
            </w:r>
          </w:p>
        </w:tc>
        <w:tc>
          <w:tcPr/>
          <w:p>
            <w:pPr>
              <w:pStyle w:val="Compact"/>
              <w:spacing w:line="240" w:lineRule="auto"/>
              <w:jc w:val="right"/>
            </w:pPr>
            <w:r>
              <w:rPr>
                <w:sz w:val="18"/>
              </w:rPr>
              <w:t xml:space="preserve">0.91</w:t>
            </w:r>
          </w:p>
        </w:tc>
        <w:tc>
          <w:tcPr/>
          <w:p>
            <w:pPr>
              <w:pStyle w:val="Compact"/>
              <w:spacing w:line="240" w:lineRule="auto"/>
              <w:jc w:val="left"/>
            </w:pPr>
            <w:r>
              <w:rPr>
                <w:sz w:val="18"/>
              </w:rPr>
              <w:t xml:space="preserve">[0.87, 0.94]</w:t>
            </w:r>
          </w:p>
        </w:tc>
        <w:tc>
          <w:tcPr/>
          <w:p>
            <w:pPr>
              <w:pStyle w:val="Compact"/>
              <w:spacing w:line="240" w:lineRule="auto"/>
              <w:jc w:val="left"/>
            </w:pPr>
            <w:r>
              <w:rPr>
                <w:sz w:val="18"/>
              </w:rPr>
              <w:t xml:space="preserve">&lt; 0.001</w:t>
            </w:r>
          </w:p>
        </w:tc>
      </w:tr>
      <w:tr>
        <w:tc>
          <w:tcPr/>
          <w:p>
            <w:pPr>
              <w:pStyle w:val="Compact"/>
              <w:spacing w:line="240" w:lineRule="auto"/>
              <w:jc w:val="left"/>
            </w:pPr>
            <w:r>
              <w:rPr>
                <w:sz w:val="18"/>
              </w:rPr>
              <w:t xml:space="preserve">Proportion mediated</w:t>
            </w:r>
          </w:p>
        </w:tc>
        <w:tc>
          <w:tcPr/>
          <w:p>
            <w:pPr>
              <w:pStyle w:val="Compact"/>
              <w:spacing w:line="240" w:lineRule="auto"/>
              <w:jc w:val="right"/>
            </w:pPr>
            <w:r>
              <w:rPr>
                <w:sz w:val="18"/>
              </w:rPr>
              <w:t xml:space="preserve">0.93</w:t>
            </w:r>
          </w:p>
        </w:tc>
        <w:tc>
          <w:tcPr/>
          <w:p>
            <w:pPr>
              <w:pStyle w:val="Compact"/>
              <w:spacing w:line="240" w:lineRule="auto"/>
              <w:jc w:val="left"/>
            </w:pPr>
            <w:r>
              <w:rPr>
                <w:sz w:val="18"/>
              </w:rPr>
              <w:t xml:space="preserve">[0.75, 1.12]</w:t>
            </w:r>
          </w:p>
        </w:tc>
        <w:tc>
          <w:tcPr/>
          <w:p>
            <w:pPr>
              <w:pStyle w:val="Compact"/>
              <w:spacing w:line="240" w:lineRule="auto"/>
              <w:jc w:val="left"/>
            </w:pPr>
            <w:r>
              <w:rPr>
                <w:sz w:val="18"/>
              </w:rPr>
              <w:t xml:space="preserve">—</w:t>
            </w:r>
          </w:p>
        </w:tc>
      </w:tr>
    </w:tbl>
    <w:p>
      <w:pPr>
        <w:pStyle w:val="BodyText"/>
      </w:pPr>
      <w:r>
        <w:t xml:space="preserve">R² = 0.85 for capacity development and 0.95 for institutional resilience.</w:t>
      </w:r>
    </w:p>
    <w:p>
      <w:pPr>
        <w:pStyle w:val="BodyText"/>
      </w:pPr>
      <w:r>
        <w:rPr>
          <w:iCs/>
          <w:i/>
        </w:rPr>
        <w:t xml:space="preserve">b. Observed-score regression (unstandardised coefficients on the 1–7 scale; 95% percentile bootstrap CI, 5,000 resamples)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spacing w:line="240" w:lineRule="auto"/>
              <w:jc w:val="left"/>
            </w:pPr>
            <w:r>
              <w:rPr>
                <w:sz w:val="18"/>
              </w:rPr>
              <w:t xml:space="preserve">Model</w:t>
            </w:r>
          </w:p>
        </w:tc>
        <w:tc>
          <w:tcPr/>
          <w:p>
            <w:pPr>
              <w:pStyle w:val="Compact"/>
              <w:spacing w:line="240" w:lineRule="auto"/>
              <w:jc w:val="right"/>
            </w:pPr>
            <w:r>
              <w:rPr>
                <w:sz w:val="18"/>
              </w:rPr>
              <w:t xml:space="preserve">n</w:t>
            </w:r>
          </w:p>
        </w:tc>
        <w:tc>
          <w:tcPr/>
          <w:p>
            <w:pPr>
              <w:pStyle w:val="Compact"/>
              <w:spacing w:line="240" w:lineRule="auto"/>
              <w:jc w:val="right"/>
            </w:pPr>
            <w:r>
              <w:rPr>
                <w:sz w:val="18"/>
              </w:rPr>
              <w:t xml:space="preserve">a</w:t>
            </w:r>
          </w:p>
        </w:tc>
        <w:tc>
          <w:tcPr/>
          <w:p>
            <w:pPr>
              <w:pStyle w:val="Compact"/>
              <w:spacing w:line="240" w:lineRule="auto"/>
              <w:jc w:val="right"/>
            </w:pPr>
            <w:r>
              <w:rPr>
                <w:sz w:val="18"/>
              </w:rPr>
              <w:t xml:space="preserve">b</w:t>
            </w:r>
          </w:p>
        </w:tc>
        <w:tc>
          <w:tcPr/>
          <w:p>
            <w:pPr>
              <w:pStyle w:val="Compact"/>
              <w:spacing w:line="240" w:lineRule="auto"/>
              <w:jc w:val="right"/>
            </w:pPr>
            <w:r>
              <w:rPr>
                <w:sz w:val="18"/>
              </w:rPr>
              <w:t xml:space="preserve">c′</w:t>
            </w:r>
          </w:p>
        </w:tc>
        <w:tc>
          <w:tcPr/>
          <w:p>
            <w:pPr>
              <w:pStyle w:val="Compact"/>
              <w:spacing w:line="240" w:lineRule="auto"/>
              <w:jc w:val="right"/>
            </w:pPr>
            <w:r>
              <w:rPr>
                <w:sz w:val="18"/>
              </w:rPr>
              <w:t xml:space="preserve">Indirect</w:t>
            </w:r>
          </w:p>
        </w:tc>
        <w:tc>
          <w:tcPr/>
          <w:p>
            <w:pPr>
              <w:pStyle w:val="Compact"/>
              <w:spacing w:line="240" w:lineRule="auto"/>
              <w:jc w:val="right"/>
            </w:pPr>
            <w:r>
              <w:rPr>
                <w:sz w:val="18"/>
              </w:rPr>
              <w:t xml:space="preserve">Proportion mediated</w:t>
            </w:r>
          </w:p>
        </w:tc>
      </w:tr>
      <w:tr>
        <w:tc>
          <w:tcPr/>
          <w:p>
            <w:pPr>
              <w:pStyle w:val="Compact"/>
              <w:spacing w:line="240" w:lineRule="auto"/>
              <w:jc w:val="left"/>
            </w:pPr>
            <w:r>
              <w:rPr>
                <w:sz w:val="18"/>
              </w:rPr>
              <w:t xml:space="preserve">Unadjusted</w:t>
            </w:r>
          </w:p>
        </w:tc>
        <w:tc>
          <w:tcPr/>
          <w:p>
            <w:pPr>
              <w:pStyle w:val="Compact"/>
              <w:spacing w:line="240" w:lineRule="auto"/>
              <w:jc w:val="right"/>
            </w:pPr>
            <w:r>
              <w:rPr>
                <w:sz w:val="18"/>
              </w:rPr>
              <w:t xml:space="preserve">416</w:t>
            </w:r>
          </w:p>
        </w:tc>
        <w:tc>
          <w:tcPr/>
          <w:p>
            <w:pPr>
              <w:pStyle w:val="Compact"/>
              <w:spacing w:line="240" w:lineRule="auto"/>
              <w:jc w:val="right"/>
            </w:pPr>
            <w:r>
              <w:rPr>
                <w:sz w:val="18"/>
              </w:rPr>
              <w:t xml:space="preserve">1.15 [1.02, 1.29]</w:t>
            </w:r>
          </w:p>
        </w:tc>
        <w:tc>
          <w:tcPr/>
          <w:p>
            <w:pPr>
              <w:pStyle w:val="Compact"/>
              <w:spacing w:line="240" w:lineRule="auto"/>
              <w:jc w:val="right"/>
            </w:pPr>
            <w:r>
              <w:rPr>
                <w:sz w:val="18"/>
              </w:rPr>
              <w:t xml:space="preserve">0.80 [0.59, 1.03]</w:t>
            </w:r>
          </w:p>
        </w:tc>
        <w:tc>
          <w:tcPr/>
          <w:p>
            <w:pPr>
              <w:pStyle w:val="Compact"/>
              <w:spacing w:line="240" w:lineRule="auto"/>
              <w:jc w:val="right"/>
            </w:pPr>
            <w:r>
              <w:rPr>
                <w:sz w:val="18"/>
              </w:rPr>
              <w:t xml:space="preserve">0.30 [−0.01, 0.58]</w:t>
            </w:r>
          </w:p>
        </w:tc>
        <w:tc>
          <w:tcPr/>
          <w:p>
            <w:pPr>
              <w:pStyle w:val="Compact"/>
              <w:spacing w:line="240" w:lineRule="auto"/>
              <w:jc w:val="right"/>
            </w:pPr>
            <w:r>
              <w:rPr>
                <w:sz w:val="18"/>
              </w:rPr>
              <w:t xml:space="preserve">0.92 [0.65, 1.22]</w:t>
            </w:r>
          </w:p>
        </w:tc>
        <w:tc>
          <w:tcPr/>
          <w:p>
            <w:pPr>
              <w:pStyle w:val="Compact"/>
              <w:spacing w:line="240" w:lineRule="auto"/>
              <w:jc w:val="right"/>
            </w:pPr>
            <w:r>
              <w:rPr>
                <w:sz w:val="18"/>
              </w:rPr>
              <w:t xml:space="preserve">0.75 [0.54, 1.01]</w:t>
            </w:r>
          </w:p>
        </w:tc>
      </w:tr>
      <w:tr>
        <w:tc>
          <w:tcPr/>
          <w:p>
            <w:pPr>
              <w:pStyle w:val="Compact"/>
              <w:spacing w:line="240" w:lineRule="auto"/>
              <w:jc w:val="left"/>
            </w:pPr>
            <w:r>
              <w:rPr>
                <w:sz w:val="18"/>
              </w:rPr>
              <w:t xml:space="preserve">Adjusted for covariates</w:t>
            </w:r>
          </w:p>
        </w:tc>
        <w:tc>
          <w:tcPr/>
          <w:p>
            <w:pPr>
              <w:pStyle w:val="Compact"/>
              <w:spacing w:line="240" w:lineRule="auto"/>
              <w:jc w:val="right"/>
            </w:pPr>
            <w:r>
              <w:rPr>
                <w:sz w:val="18"/>
              </w:rPr>
              <w:t xml:space="preserve">402</w:t>
            </w:r>
          </w:p>
        </w:tc>
        <w:tc>
          <w:tcPr/>
          <w:p>
            <w:pPr>
              <w:pStyle w:val="Compact"/>
              <w:spacing w:line="240" w:lineRule="auto"/>
              <w:jc w:val="right"/>
            </w:pPr>
            <w:r>
              <w:rPr>
                <w:sz w:val="18"/>
              </w:rPr>
              <w:t xml:space="preserve">1.17 [1.02, 1.33]</w:t>
            </w:r>
          </w:p>
        </w:tc>
        <w:tc>
          <w:tcPr/>
          <w:p>
            <w:pPr>
              <w:pStyle w:val="Compact"/>
              <w:spacing w:line="240" w:lineRule="auto"/>
              <w:jc w:val="right"/>
            </w:pPr>
            <w:r>
              <w:rPr>
                <w:sz w:val="18"/>
              </w:rPr>
              <w:t xml:space="preserve">0.79 [0.59, 1.04]</w:t>
            </w:r>
          </w:p>
        </w:tc>
        <w:tc>
          <w:tcPr/>
          <w:p>
            <w:pPr>
              <w:pStyle w:val="Compact"/>
              <w:spacing w:line="240" w:lineRule="auto"/>
              <w:jc w:val="right"/>
            </w:pPr>
            <w:r>
              <w:rPr>
                <w:sz w:val="18"/>
              </w:rPr>
              <w:t xml:space="preserve">0.30 [−0.04, 0.58]</w:t>
            </w:r>
          </w:p>
        </w:tc>
        <w:tc>
          <w:tcPr/>
          <w:p>
            <w:pPr>
              <w:pStyle w:val="Compact"/>
              <w:spacing w:line="240" w:lineRule="auto"/>
              <w:jc w:val="right"/>
            </w:pPr>
            <w:r>
              <w:rPr>
                <w:sz w:val="18"/>
              </w:rPr>
              <w:t xml:space="preserve">0.93 [0.65, 1.28]</w:t>
            </w:r>
          </w:p>
        </w:tc>
        <w:tc>
          <w:tcPr/>
          <w:p>
            <w:pPr>
              <w:pStyle w:val="Compact"/>
              <w:spacing w:line="240" w:lineRule="auto"/>
              <w:jc w:val="right"/>
            </w:pPr>
            <w:r>
              <w:rPr>
                <w:sz w:val="18"/>
              </w:rPr>
              <w:t xml:space="preserve">0.76 [0.54, 1.03]</w:t>
            </w:r>
          </w:p>
        </w:tc>
      </w:tr>
    </w:tbl>
    <w:p>
      <w:pPr>
        <w:pStyle w:val="BodyText"/>
      </w:pPr>
      <w:r>
        <w:t xml:space="preserve">Covariates: gender, age group, organisation type (private hospital versus other) and experience (&gt;15 versus ≤15 years); n is lower in the adjusted model because of missing covariate data.</w:t>
      </w:r>
    </w:p>
    <w:p>
      <w:pPr>
        <w:pStyle w:val="BodyText"/>
      </w:pPr>
      <w:r>
        <w:rPr>
          <w:bCs/>
          <w:b/>
        </w:rPr>
        <w:t xml:space="preserve">Table 5</w:t>
      </w:r>
      <w:r>
        <w:t xml:space="preserve"> </w:t>
      </w:r>
      <w:r>
        <w:t xml:space="preserve">Robustness of the mediation model across samples and alternative specifications</w:t>
      </w:r>
    </w:p>
    <w:p>
      <w:pPr>
        <w:pStyle w:val="BodyText"/>
      </w:pPr>
      <w:r>
        <w:rPr>
          <w:iCs/>
          <w:i/>
        </w:rPr>
        <w:t xml:space="preserve">a. Hypothesised model re-estimated in each analysis sample (standardised WLSMV estimates)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spacing w:line="240" w:lineRule="auto"/>
              <w:jc w:val="left"/>
            </w:pPr>
            <w:r>
              <w:rPr>
                <w:sz w:val="18"/>
              </w:rPr>
              <w:t xml:space="preserve">Sample</w:t>
            </w:r>
          </w:p>
        </w:tc>
        <w:tc>
          <w:tcPr/>
          <w:p>
            <w:pPr>
              <w:pStyle w:val="Compact"/>
              <w:spacing w:line="240" w:lineRule="auto"/>
              <w:jc w:val="right"/>
            </w:pPr>
            <w:r>
              <w:rPr>
                <w:sz w:val="18"/>
              </w:rPr>
              <w:t xml:space="preserve">n</w:t>
            </w:r>
          </w:p>
        </w:tc>
        <w:tc>
          <w:tcPr/>
          <w:p>
            <w:pPr>
              <w:pStyle w:val="Compact"/>
              <w:spacing w:line="240" w:lineRule="auto"/>
              <w:jc w:val="right"/>
            </w:pPr>
            <w:r>
              <w:rPr>
                <w:sz w:val="18"/>
              </w:rPr>
              <w:t xml:space="preserve">a</w:t>
            </w:r>
          </w:p>
        </w:tc>
        <w:tc>
          <w:tcPr/>
          <w:p>
            <w:pPr>
              <w:pStyle w:val="Compact"/>
              <w:spacing w:line="240" w:lineRule="auto"/>
              <w:jc w:val="right"/>
            </w:pPr>
            <w:r>
              <w:rPr>
                <w:sz w:val="18"/>
              </w:rPr>
              <w:t xml:space="preserve">b</w:t>
            </w:r>
          </w:p>
        </w:tc>
        <w:tc>
          <w:tcPr/>
          <w:p>
            <w:pPr>
              <w:pStyle w:val="Compact"/>
              <w:spacing w:line="240" w:lineRule="auto"/>
              <w:jc w:val="right"/>
            </w:pPr>
            <w:r>
              <w:rPr>
                <w:sz w:val="18"/>
              </w:rPr>
              <w:t xml:space="preserve">c′ (P)</w:t>
            </w:r>
          </w:p>
        </w:tc>
        <w:tc>
          <w:tcPr/>
          <w:p>
            <w:pPr>
              <w:pStyle w:val="Compact"/>
              <w:spacing w:line="240" w:lineRule="auto"/>
              <w:jc w:val="right"/>
            </w:pPr>
            <w:r>
              <w:rPr>
                <w:sz w:val="18"/>
              </w:rPr>
              <w:t xml:space="preserve">Indirect [95% CI]</w:t>
            </w:r>
          </w:p>
        </w:tc>
        <w:tc>
          <w:tcPr/>
          <w:p>
            <w:pPr>
              <w:pStyle w:val="Compact"/>
              <w:spacing w:line="240" w:lineRule="auto"/>
              <w:jc w:val="right"/>
            </w:pPr>
            <w:r>
              <w:rPr>
                <w:sz w:val="18"/>
              </w:rPr>
              <w:t xml:space="preserve">CFI</w:t>
            </w:r>
          </w:p>
        </w:tc>
        <w:tc>
          <w:tcPr/>
          <w:p>
            <w:pPr>
              <w:pStyle w:val="Compact"/>
              <w:spacing w:line="240" w:lineRule="auto"/>
              <w:jc w:val="right"/>
            </w:pPr>
            <w:r>
              <w:rPr>
                <w:sz w:val="18"/>
              </w:rPr>
              <w:t xml:space="preserve">RMSEA</w:t>
            </w:r>
          </w:p>
        </w:tc>
      </w:tr>
      <w:tr>
        <w:tc>
          <w:tcPr/>
          <w:p>
            <w:pPr>
              <w:pStyle w:val="Compact"/>
              <w:spacing w:line="240" w:lineRule="auto"/>
              <w:jc w:val="left"/>
            </w:pPr>
            <w:r>
              <w:rPr>
                <w:sz w:val="18"/>
              </w:rPr>
              <w:t xml:space="preserve">Full sample</w:t>
            </w:r>
          </w:p>
        </w:tc>
        <w:tc>
          <w:tcPr/>
          <w:p>
            <w:pPr>
              <w:pStyle w:val="Compact"/>
              <w:spacing w:line="240" w:lineRule="auto"/>
              <w:jc w:val="right"/>
            </w:pPr>
            <w:r>
              <w:rPr>
                <w:sz w:val="18"/>
              </w:rPr>
              <w:t xml:space="preserve">416</w:t>
            </w:r>
          </w:p>
        </w:tc>
        <w:tc>
          <w:tcPr/>
          <w:p>
            <w:pPr>
              <w:pStyle w:val="Compact"/>
              <w:spacing w:line="240" w:lineRule="auto"/>
              <w:jc w:val="right"/>
            </w:pPr>
            <w:r>
              <w:rPr>
                <w:sz w:val="18"/>
              </w:rPr>
              <w:t xml:space="preserve">0.92</w:t>
            </w:r>
          </w:p>
        </w:tc>
        <w:tc>
          <w:tcPr/>
          <w:p>
            <w:pPr>
              <w:pStyle w:val="Compact"/>
              <w:spacing w:line="240" w:lineRule="auto"/>
              <w:jc w:val="right"/>
            </w:pPr>
            <w:r>
              <w:rPr>
                <w:sz w:val="18"/>
              </w:rPr>
              <w:t xml:space="preserve">0.92</w:t>
            </w:r>
          </w:p>
        </w:tc>
        <w:tc>
          <w:tcPr/>
          <w:p>
            <w:pPr>
              <w:pStyle w:val="Compact"/>
              <w:spacing w:line="240" w:lineRule="auto"/>
              <w:jc w:val="right"/>
            </w:pPr>
            <w:r>
              <w:rPr>
                <w:sz w:val="18"/>
              </w:rPr>
              <w:t xml:space="preserve">0.06 (P = 0.464)</w:t>
            </w:r>
          </w:p>
        </w:tc>
        <w:tc>
          <w:tcPr/>
          <w:p>
            <w:pPr>
              <w:pStyle w:val="Compact"/>
              <w:spacing w:line="240" w:lineRule="auto"/>
              <w:jc w:val="right"/>
            </w:pPr>
            <w:r>
              <w:rPr>
                <w:sz w:val="18"/>
              </w:rPr>
              <w:t xml:space="preserve">0.84 [0.69, 1.00]</w:t>
            </w:r>
          </w:p>
        </w:tc>
        <w:tc>
          <w:tcPr/>
          <w:p>
            <w:pPr>
              <w:pStyle w:val="Compact"/>
              <w:spacing w:line="240" w:lineRule="auto"/>
              <w:jc w:val="right"/>
            </w:pPr>
            <w:r>
              <w:rPr>
                <w:sz w:val="18"/>
              </w:rPr>
              <w:t xml:space="preserve">0.996</w:t>
            </w:r>
          </w:p>
        </w:tc>
        <w:tc>
          <w:tcPr/>
          <w:p>
            <w:pPr>
              <w:pStyle w:val="Compact"/>
              <w:spacing w:line="240" w:lineRule="auto"/>
              <w:jc w:val="right"/>
            </w:pPr>
            <w:r>
              <w:rPr>
                <w:sz w:val="18"/>
              </w:rPr>
              <w:t xml:space="preserve">0.039</w:t>
            </w:r>
          </w:p>
        </w:tc>
      </w:tr>
      <w:tr>
        <w:tc>
          <w:tcPr/>
          <w:p>
            <w:pPr>
              <w:pStyle w:val="Compact"/>
              <w:spacing w:line="240" w:lineRule="auto"/>
              <w:jc w:val="left"/>
            </w:pPr>
            <w:r>
              <w:rPr>
                <w:sz w:val="18"/>
              </w:rPr>
              <w:t xml:space="preserve">Screened respondents</w:t>
            </w:r>
          </w:p>
        </w:tc>
        <w:tc>
          <w:tcPr/>
          <w:p>
            <w:pPr>
              <w:pStyle w:val="Compact"/>
              <w:spacing w:line="240" w:lineRule="auto"/>
              <w:jc w:val="right"/>
            </w:pPr>
            <w:r>
              <w:rPr>
                <w:sz w:val="18"/>
              </w:rPr>
              <w:t xml:space="preserve">342</w:t>
            </w:r>
          </w:p>
        </w:tc>
        <w:tc>
          <w:tcPr/>
          <w:p>
            <w:pPr>
              <w:pStyle w:val="Compact"/>
              <w:spacing w:line="240" w:lineRule="auto"/>
              <w:jc w:val="right"/>
            </w:pPr>
            <w:r>
              <w:rPr>
                <w:sz w:val="18"/>
              </w:rPr>
              <w:t xml:space="preserve">0.92</w:t>
            </w:r>
          </w:p>
        </w:tc>
        <w:tc>
          <w:tcPr/>
          <w:p>
            <w:pPr>
              <w:pStyle w:val="Compact"/>
              <w:spacing w:line="240" w:lineRule="auto"/>
              <w:jc w:val="right"/>
            </w:pPr>
            <w:r>
              <w:rPr>
                <w:sz w:val="18"/>
              </w:rPr>
              <w:t xml:space="preserve">0.89</w:t>
            </w:r>
          </w:p>
        </w:tc>
        <w:tc>
          <w:tcPr/>
          <w:p>
            <w:pPr>
              <w:pStyle w:val="Compact"/>
              <w:spacing w:line="240" w:lineRule="auto"/>
              <w:jc w:val="right"/>
            </w:pPr>
            <w:r>
              <w:rPr>
                <w:sz w:val="18"/>
              </w:rPr>
              <w:t xml:space="preserve">0.09 (P = 0.309)</w:t>
            </w:r>
          </w:p>
        </w:tc>
        <w:tc>
          <w:tcPr/>
          <w:p>
            <w:pPr>
              <w:pStyle w:val="Compact"/>
              <w:spacing w:line="240" w:lineRule="auto"/>
              <w:jc w:val="right"/>
            </w:pPr>
            <w:r>
              <w:rPr>
                <w:sz w:val="18"/>
              </w:rPr>
              <w:t xml:space="preserve">0.82 [0.65, 0.98]</w:t>
            </w:r>
          </w:p>
        </w:tc>
        <w:tc>
          <w:tcPr/>
          <w:p>
            <w:pPr>
              <w:pStyle w:val="Compact"/>
              <w:spacing w:line="240" w:lineRule="auto"/>
              <w:jc w:val="right"/>
            </w:pPr>
            <w:r>
              <w:rPr>
                <w:sz w:val="18"/>
              </w:rPr>
              <w:t xml:space="preserve">0.998</w:t>
            </w:r>
          </w:p>
        </w:tc>
        <w:tc>
          <w:tcPr/>
          <w:p>
            <w:pPr>
              <w:pStyle w:val="Compact"/>
              <w:spacing w:line="240" w:lineRule="auto"/>
              <w:jc w:val="right"/>
            </w:pPr>
            <w:r>
              <w:rPr>
                <w:sz w:val="18"/>
              </w:rPr>
              <w:t xml:space="preserve">0.033</w:t>
            </w:r>
          </w:p>
        </w:tc>
      </w:tr>
      <w:tr>
        <w:tc>
          <w:tcPr/>
          <w:p>
            <w:pPr>
              <w:pStyle w:val="Compact"/>
              <w:spacing w:line="240" w:lineRule="auto"/>
              <w:jc w:val="left"/>
            </w:pPr>
            <w:r>
              <w:rPr>
                <w:sz w:val="18"/>
              </w:rPr>
              <w:t xml:space="preserve">Excluding straight-liners</w:t>
            </w:r>
          </w:p>
        </w:tc>
        <w:tc>
          <w:tcPr/>
          <w:p>
            <w:pPr>
              <w:pStyle w:val="Compact"/>
              <w:spacing w:line="240" w:lineRule="auto"/>
              <w:jc w:val="right"/>
            </w:pPr>
            <w:r>
              <w:rPr>
                <w:sz w:val="18"/>
              </w:rPr>
              <w:t xml:space="preserve">207</w:t>
            </w:r>
          </w:p>
        </w:tc>
        <w:tc>
          <w:tcPr/>
          <w:p>
            <w:pPr>
              <w:pStyle w:val="Compact"/>
              <w:spacing w:line="240" w:lineRule="auto"/>
              <w:jc w:val="right"/>
            </w:pPr>
            <w:r>
              <w:rPr>
                <w:sz w:val="18"/>
              </w:rPr>
              <w:t xml:space="preserve">0.85</w:t>
            </w:r>
          </w:p>
        </w:tc>
        <w:tc>
          <w:tcPr/>
          <w:p>
            <w:pPr>
              <w:pStyle w:val="Compact"/>
              <w:spacing w:line="240" w:lineRule="auto"/>
              <w:jc w:val="right"/>
            </w:pPr>
            <w:r>
              <w:rPr>
                <w:sz w:val="18"/>
              </w:rPr>
              <w:t xml:space="preserve">0.90</w:t>
            </w:r>
          </w:p>
        </w:tc>
        <w:tc>
          <w:tcPr/>
          <w:p>
            <w:pPr>
              <w:pStyle w:val="Compact"/>
              <w:spacing w:line="240" w:lineRule="auto"/>
              <w:jc w:val="right"/>
            </w:pPr>
            <w:r>
              <w:rPr>
                <w:sz w:val="18"/>
              </w:rPr>
              <w:t xml:space="preserve">0.05 (P = 0.605)</w:t>
            </w:r>
          </w:p>
        </w:tc>
        <w:tc>
          <w:tcPr/>
          <w:p>
            <w:pPr>
              <w:pStyle w:val="Compact"/>
              <w:spacing w:line="240" w:lineRule="auto"/>
              <w:jc w:val="right"/>
            </w:pPr>
            <w:r>
              <w:rPr>
                <w:sz w:val="18"/>
              </w:rPr>
              <w:t xml:space="preserve">0.77 [0.61, 0.92]</w:t>
            </w:r>
          </w:p>
        </w:tc>
        <w:tc>
          <w:tcPr/>
          <w:p>
            <w:pPr>
              <w:pStyle w:val="Compact"/>
              <w:spacing w:line="240" w:lineRule="auto"/>
              <w:jc w:val="right"/>
            </w:pPr>
            <w:r>
              <w:rPr>
                <w:sz w:val="18"/>
              </w:rPr>
              <w:t xml:space="preserve">0.988</w:t>
            </w:r>
          </w:p>
        </w:tc>
        <w:tc>
          <w:tcPr/>
          <w:p>
            <w:pPr>
              <w:pStyle w:val="Compact"/>
              <w:spacing w:line="240" w:lineRule="auto"/>
              <w:jc w:val="right"/>
            </w:pPr>
            <w:r>
              <w:rPr>
                <w:sz w:val="18"/>
              </w:rPr>
              <w:t xml:space="preserve">0.058</w:t>
            </w:r>
          </w:p>
        </w:tc>
      </w:tr>
      <w:tr>
        <w:tc>
          <w:tcPr/>
          <w:p>
            <w:pPr>
              <w:pStyle w:val="Compact"/>
              <w:spacing w:line="240" w:lineRule="auto"/>
              <w:jc w:val="left"/>
            </w:pPr>
            <w:r>
              <w:rPr>
                <w:sz w:val="18"/>
              </w:rPr>
              <w:t xml:space="preserve">Excluding repeat profiles</w:t>
            </w:r>
          </w:p>
        </w:tc>
        <w:tc>
          <w:tcPr/>
          <w:p>
            <w:pPr>
              <w:pStyle w:val="Compact"/>
              <w:spacing w:line="240" w:lineRule="auto"/>
              <w:jc w:val="right"/>
            </w:pPr>
            <w:r>
              <w:rPr>
                <w:sz w:val="18"/>
              </w:rPr>
              <w:t xml:space="preserve">255</w:t>
            </w:r>
          </w:p>
        </w:tc>
        <w:tc>
          <w:tcPr/>
          <w:p>
            <w:pPr>
              <w:pStyle w:val="Compact"/>
              <w:spacing w:line="240" w:lineRule="auto"/>
              <w:jc w:val="right"/>
            </w:pPr>
            <w:r>
              <w:rPr>
                <w:sz w:val="18"/>
              </w:rPr>
              <w:t xml:space="preserve">0.88</w:t>
            </w:r>
          </w:p>
        </w:tc>
        <w:tc>
          <w:tcPr/>
          <w:p>
            <w:pPr>
              <w:pStyle w:val="Compact"/>
              <w:spacing w:line="240" w:lineRule="auto"/>
              <w:jc w:val="right"/>
            </w:pPr>
            <w:r>
              <w:rPr>
                <w:sz w:val="18"/>
              </w:rPr>
              <w:t xml:space="preserve">0.92</w:t>
            </w:r>
          </w:p>
        </w:tc>
        <w:tc>
          <w:tcPr/>
          <w:p>
            <w:pPr>
              <w:pStyle w:val="Compact"/>
              <w:spacing w:line="240" w:lineRule="auto"/>
              <w:jc w:val="right"/>
            </w:pPr>
            <w:r>
              <w:rPr>
                <w:sz w:val="18"/>
              </w:rPr>
              <w:t xml:space="preserve">0.04 (P = 0.630)</w:t>
            </w:r>
          </w:p>
        </w:tc>
        <w:tc>
          <w:tcPr/>
          <w:p>
            <w:pPr>
              <w:pStyle w:val="Compact"/>
              <w:spacing w:line="240" w:lineRule="auto"/>
              <w:jc w:val="right"/>
            </w:pPr>
            <w:r>
              <w:rPr>
                <w:sz w:val="18"/>
              </w:rPr>
              <w:t xml:space="preserve">0.81 [0.66, 0.97]</w:t>
            </w:r>
          </w:p>
        </w:tc>
        <w:tc>
          <w:tcPr/>
          <w:p>
            <w:pPr>
              <w:pStyle w:val="Compact"/>
              <w:spacing w:line="240" w:lineRule="auto"/>
              <w:jc w:val="right"/>
            </w:pPr>
            <w:r>
              <w:rPr>
                <w:sz w:val="18"/>
              </w:rPr>
              <w:t xml:space="preserve">0.992</w:t>
            </w:r>
          </w:p>
        </w:tc>
        <w:tc>
          <w:tcPr/>
          <w:p>
            <w:pPr>
              <w:pStyle w:val="Compact"/>
              <w:spacing w:line="240" w:lineRule="auto"/>
              <w:jc w:val="right"/>
            </w:pPr>
            <w:r>
              <w:rPr>
                <w:sz w:val="18"/>
              </w:rPr>
              <w:t xml:space="preserve">0.050</w:t>
            </w:r>
          </w:p>
        </w:tc>
      </w:tr>
    </w:tbl>
    <w:p>
      <w:pPr>
        <w:pStyle w:val="BodyText"/>
      </w:pPr>
      <w:r>
        <w:rPr>
          <w:iCs/>
          <w:i/>
        </w:rPr>
        <w:t xml:space="preserve">b. Alternative specifications (full sample, N = 416)</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spacing w:line="240" w:lineRule="auto"/>
              <w:jc w:val="left"/>
            </w:pPr>
            <w:r>
              <w:rPr>
                <w:sz w:val="18"/>
              </w:rPr>
              <w:t xml:space="preserve">Model</w:t>
            </w:r>
          </w:p>
        </w:tc>
        <w:tc>
          <w:tcPr/>
          <w:p>
            <w:pPr>
              <w:pStyle w:val="Compact"/>
              <w:spacing w:line="240" w:lineRule="auto"/>
              <w:jc w:val="right"/>
            </w:pPr>
            <w:r>
              <w:rPr>
                <w:sz w:val="18"/>
              </w:rPr>
              <w:t xml:space="preserve">a</w:t>
            </w:r>
          </w:p>
        </w:tc>
        <w:tc>
          <w:tcPr/>
          <w:p>
            <w:pPr>
              <w:pStyle w:val="Compact"/>
              <w:spacing w:line="240" w:lineRule="auto"/>
              <w:jc w:val="left"/>
            </w:pPr>
            <w:r>
              <w:rPr>
                <w:sz w:val="18"/>
              </w:rPr>
              <w:t xml:space="preserve">b</w:t>
            </w:r>
          </w:p>
        </w:tc>
        <w:tc>
          <w:tcPr/>
          <w:p>
            <w:pPr>
              <w:pStyle w:val="Compact"/>
              <w:spacing w:line="240" w:lineRule="auto"/>
              <w:jc w:val="left"/>
            </w:pPr>
            <w:r>
              <w:rPr>
                <w:sz w:val="18"/>
              </w:rPr>
              <w:t xml:space="preserve">c′ (P)</w:t>
            </w:r>
          </w:p>
        </w:tc>
        <w:tc>
          <w:tcPr/>
          <w:p>
            <w:pPr>
              <w:pStyle w:val="Compact"/>
              <w:spacing w:line="240" w:lineRule="auto"/>
              <w:jc w:val="left"/>
            </w:pPr>
            <w:r>
              <w:rPr>
                <w:sz w:val="18"/>
              </w:rPr>
              <w:t xml:space="preserve">Indirect (P)</w:t>
            </w:r>
          </w:p>
        </w:tc>
        <w:tc>
          <w:tcPr/>
          <w:p>
            <w:pPr>
              <w:pStyle w:val="Compact"/>
              <w:spacing w:line="240" w:lineRule="auto"/>
              <w:jc w:val="right"/>
            </w:pPr>
            <w:r>
              <w:rPr>
                <w:sz w:val="18"/>
              </w:rPr>
              <w:t xml:space="preserve">χ² (df)</w:t>
            </w:r>
          </w:p>
        </w:tc>
        <w:tc>
          <w:tcPr/>
          <w:p>
            <w:pPr>
              <w:pStyle w:val="Compact"/>
              <w:spacing w:line="240" w:lineRule="auto"/>
              <w:jc w:val="right"/>
            </w:pPr>
            <w:r>
              <w:rPr>
                <w:sz w:val="18"/>
              </w:rPr>
              <w:t xml:space="preserve">CFI</w:t>
            </w:r>
          </w:p>
        </w:tc>
        <w:tc>
          <w:tcPr/>
          <w:p>
            <w:pPr>
              <w:pStyle w:val="Compact"/>
              <w:spacing w:line="240" w:lineRule="auto"/>
              <w:jc w:val="right"/>
            </w:pPr>
            <w:r>
              <w:rPr>
                <w:sz w:val="18"/>
              </w:rPr>
              <w:t xml:space="preserve">RMSEA</w:t>
            </w:r>
          </w:p>
        </w:tc>
      </w:tr>
      <w:tr>
        <w:tc>
          <w:tcPr/>
          <w:p>
            <w:pPr>
              <w:pStyle w:val="Compact"/>
              <w:spacing w:line="240" w:lineRule="auto"/>
              <w:jc w:val="left"/>
            </w:pPr>
            <w:r>
              <w:rPr>
                <w:sz w:val="18"/>
              </w:rPr>
              <w:t xml:space="preserve">Common latent method factor added</w:t>
            </w:r>
          </w:p>
        </w:tc>
        <w:tc>
          <w:tcPr/>
          <w:p>
            <w:pPr>
              <w:pStyle w:val="Compact"/>
              <w:spacing w:line="240" w:lineRule="auto"/>
              <w:jc w:val="right"/>
            </w:pPr>
            <w:r>
              <w:rPr>
                <w:sz w:val="18"/>
              </w:rPr>
              <w:t xml:space="preserve">0.75</w:t>
            </w:r>
          </w:p>
        </w:tc>
        <w:tc>
          <w:tcPr/>
          <w:p>
            <w:pPr>
              <w:pStyle w:val="Compact"/>
              <w:spacing w:line="240" w:lineRule="auto"/>
              <w:jc w:val="left"/>
            </w:pPr>
            <w:r>
              <w:rPr>
                <w:sz w:val="18"/>
              </w:rPr>
              <w:t xml:space="preserve">0.92</w:t>
            </w:r>
          </w:p>
        </w:tc>
        <w:tc>
          <w:tcPr/>
          <w:p>
            <w:pPr>
              <w:pStyle w:val="Compact"/>
              <w:spacing w:line="240" w:lineRule="auto"/>
              <w:jc w:val="left"/>
            </w:pPr>
            <w:r>
              <w:rPr>
                <w:sz w:val="18"/>
              </w:rPr>
              <w:t xml:space="preserve">−0.01 (P = 0.960)</w:t>
            </w:r>
          </w:p>
        </w:tc>
        <w:tc>
          <w:tcPr/>
          <w:p>
            <w:pPr>
              <w:pStyle w:val="Compact"/>
              <w:spacing w:line="240" w:lineRule="auto"/>
              <w:jc w:val="left"/>
            </w:pPr>
            <w:r>
              <w:rPr>
                <w:sz w:val="18"/>
              </w:rPr>
              <w:t xml:space="preserve">0.69 (P &lt; 0.001)</w:t>
            </w:r>
          </w:p>
        </w:tc>
        <w:tc>
          <w:tcPr/>
          <w:p>
            <w:pPr>
              <w:pStyle w:val="Compact"/>
              <w:spacing w:line="240" w:lineRule="auto"/>
              <w:jc w:val="right"/>
            </w:pPr>
            <w:r>
              <w:rPr>
                <w:sz w:val="18"/>
              </w:rPr>
              <w:t xml:space="preserve">268.3 (166)</w:t>
            </w:r>
          </w:p>
        </w:tc>
        <w:tc>
          <w:tcPr/>
          <w:p>
            <w:pPr>
              <w:pStyle w:val="Compact"/>
              <w:spacing w:line="240" w:lineRule="auto"/>
              <w:jc w:val="right"/>
            </w:pPr>
            <w:r>
              <w:rPr>
                <w:sz w:val="18"/>
              </w:rPr>
              <w:t xml:space="preserve">0.996</w:t>
            </w:r>
          </w:p>
        </w:tc>
        <w:tc>
          <w:tcPr/>
          <w:p>
            <w:pPr>
              <w:pStyle w:val="Compact"/>
              <w:spacing w:line="240" w:lineRule="auto"/>
              <w:jc w:val="right"/>
            </w:pPr>
            <w:r>
              <w:rPr>
                <w:sz w:val="18"/>
              </w:rPr>
              <w:t xml:space="preserve">0.039</w:t>
            </w:r>
          </w:p>
        </w:tc>
      </w:tr>
      <w:tr>
        <w:tc>
          <w:tcPr/>
          <w:p>
            <w:pPr>
              <w:pStyle w:val="Compact"/>
              <w:spacing w:line="240" w:lineRule="auto"/>
              <w:jc w:val="left"/>
            </w:pPr>
            <w:r>
              <w:rPr>
                <w:sz w:val="18"/>
              </w:rPr>
              <w:t xml:space="preserve">Reverse order: SP → IR → CD</w:t>
            </w:r>
          </w:p>
        </w:tc>
        <w:tc>
          <w:tcPr/>
          <w:p>
            <w:pPr>
              <w:pStyle w:val="Compact"/>
              <w:spacing w:line="240" w:lineRule="auto"/>
              <w:jc w:val="right"/>
            </w:pPr>
            <w:r>
              <w:rPr>
                <w:sz w:val="18"/>
              </w:rPr>
              <w:t xml:space="preserve">0.91</w:t>
            </w:r>
          </w:p>
        </w:tc>
        <w:tc>
          <w:tcPr/>
          <w:p>
            <w:pPr>
              <w:pStyle w:val="Compact"/>
              <w:spacing w:line="240" w:lineRule="auto"/>
              <w:jc w:val="left"/>
            </w:pPr>
            <w:r>
              <w:rPr>
                <w:sz w:val="18"/>
              </w:rPr>
              <w:t xml:space="preserve">0.78</w:t>
            </w:r>
          </w:p>
        </w:tc>
        <w:tc>
          <w:tcPr/>
          <w:p>
            <w:pPr>
              <w:pStyle w:val="Compact"/>
              <w:spacing w:line="240" w:lineRule="auto"/>
              <w:jc w:val="left"/>
            </w:pPr>
            <w:r>
              <w:rPr>
                <w:sz w:val="18"/>
              </w:rPr>
              <w:t xml:space="preserve">0.22 (P = 0.002)</w:t>
            </w:r>
          </w:p>
        </w:tc>
        <w:tc>
          <w:tcPr/>
          <w:p>
            <w:pPr>
              <w:pStyle w:val="Compact"/>
              <w:spacing w:line="240" w:lineRule="auto"/>
              <w:jc w:val="left"/>
            </w:pPr>
            <w:r>
              <w:rPr>
                <w:sz w:val="18"/>
              </w:rPr>
              <w:t xml:space="preserve">0.70 (P &lt; 0.001)</w:t>
            </w:r>
          </w:p>
        </w:tc>
        <w:tc>
          <w:tcPr/>
          <w:p>
            <w:pPr>
              <w:pStyle w:val="Compact"/>
              <w:spacing w:line="240" w:lineRule="auto"/>
              <w:jc w:val="right"/>
            </w:pPr>
            <w:r>
              <w:rPr>
                <w:sz w:val="18"/>
              </w:rPr>
              <w:t xml:space="preserve">274.4 (167)</w:t>
            </w:r>
          </w:p>
        </w:tc>
        <w:tc>
          <w:tcPr/>
          <w:p>
            <w:pPr>
              <w:pStyle w:val="Compact"/>
              <w:spacing w:line="240" w:lineRule="auto"/>
              <w:jc w:val="right"/>
            </w:pPr>
            <w:r>
              <w:rPr>
                <w:sz w:val="18"/>
              </w:rPr>
              <w:t xml:space="preserve">0.996</w:t>
            </w:r>
          </w:p>
        </w:tc>
        <w:tc>
          <w:tcPr/>
          <w:p>
            <w:pPr>
              <w:pStyle w:val="Compact"/>
              <w:spacing w:line="240" w:lineRule="auto"/>
              <w:jc w:val="right"/>
            </w:pPr>
            <w:r>
              <w:rPr>
                <w:sz w:val="18"/>
              </w:rPr>
              <w:t xml:space="preserve">0.039</w:t>
            </w:r>
          </w:p>
        </w:tc>
      </w:tr>
      <w:tr>
        <w:tc>
          <w:tcPr/>
          <w:p>
            <w:pPr>
              <w:pStyle w:val="Compact"/>
              <w:spacing w:line="240" w:lineRule="auto"/>
              <w:jc w:val="left"/>
            </w:pPr>
            <w:r>
              <w:rPr>
                <w:sz w:val="18"/>
              </w:rPr>
              <w:t xml:space="preserve">CD and IR merged into one factor</w:t>
            </w:r>
          </w:p>
        </w:tc>
        <w:tc>
          <w:tcPr/>
          <w:p>
            <w:pPr>
              <w:pStyle w:val="Compact"/>
              <w:spacing w:line="240" w:lineRule="auto"/>
              <w:jc w:val="right"/>
            </w:pPr>
            <w:r>
              <w:rPr>
                <w:sz w:val="18"/>
              </w:rPr>
              <w:t xml:space="preserve">0.92</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w:t>
            </w:r>
          </w:p>
        </w:tc>
        <w:tc>
          <w:tcPr/>
          <w:p>
            <w:pPr>
              <w:pStyle w:val="Compact"/>
              <w:spacing w:line="240" w:lineRule="auto"/>
              <w:jc w:val="right"/>
            </w:pPr>
            <w:r>
              <w:rPr>
                <w:sz w:val="18"/>
              </w:rPr>
              <w:t xml:space="preserve">283.6 (169)</w:t>
            </w:r>
          </w:p>
        </w:tc>
        <w:tc>
          <w:tcPr/>
          <w:p>
            <w:pPr>
              <w:pStyle w:val="Compact"/>
              <w:spacing w:line="240" w:lineRule="auto"/>
              <w:jc w:val="right"/>
            </w:pPr>
            <w:r>
              <w:rPr>
                <w:sz w:val="18"/>
              </w:rPr>
              <w:t xml:space="preserve">0.996</w:t>
            </w:r>
          </w:p>
        </w:tc>
        <w:tc>
          <w:tcPr/>
          <w:p>
            <w:pPr>
              <w:pStyle w:val="Compact"/>
              <w:spacing w:line="240" w:lineRule="auto"/>
              <w:jc w:val="right"/>
            </w:pPr>
            <w:r>
              <w:rPr>
                <w:sz w:val="18"/>
              </w:rPr>
              <w:t xml:space="preserve">0.040</w:t>
            </w:r>
          </w:p>
        </w:tc>
      </w:tr>
    </w:tbl>
    <w:p>
      <w:pPr>
        <w:pStyle w:val="BodyText"/>
      </w:pPr>
      <w:r>
        <w:t xml:space="preserve">Screened respondents: excludes 74 respondents who answered before the eligibility question was added. Straight-liners: identical answers to all 20 items. Repeat profiles: submissions identical to an earlier one on all demographic fields, job title and items. In the method-factor model all items load equally on an orthogonal method factor (mean standardised loading 0.78); this model did not converge after excluding straight-liners. In the reverse-order model, a is SP → IR, b is IR → CD and c′ is SP → CD; it is statistically equivalent to the hypothesised model. In the merged model, a is SP → combined factor. CIs are 95% Monte Carlo intervals (20,000 draws).</w:t>
      </w:r>
    </w:p>
    <w:bookmarkEnd w:id="61"/>
    <w:bookmarkStart w:id="62" w:name="additional-files"/>
    <w:p>
      <w:pPr>
        <w:pStyle w:val="Heading1"/>
      </w:pPr>
      <w:r>
        <w:t xml:space="preserve">Additional files</w:t>
      </w:r>
    </w:p>
    <w:p>
      <w:pPr>
        <w:pStyle w:val="FirstParagraph"/>
      </w:pPr>
      <w:r>
        <w:rPr>
          <w:bCs/>
          <w:b/>
        </w:rPr>
        <w:t xml:space="preserve">Additional file 1</w:t>
      </w:r>
      <w:r>
        <w:t xml:space="preserve"> </w:t>
      </w:r>
      <w:r>
        <w:t xml:space="preserve">(.docx): Supplementary tables. Table S1, sample flow; Table S2, questionnaire items in English and Arabic; Table S3, item statistics and standardised loadings; Table S4, response-style diagnostics and Harman single-factor test; Table S5, observed-score mediation in all analysis samples.</w:t>
      </w:r>
    </w:p>
    <w:p>
      <w:pPr>
        <w:pStyle w:val="BodyText"/>
      </w:pPr>
      <w:r>
        <w:rPr>
          <w:bCs/>
          <w:b/>
        </w:rPr>
        <w:t xml:space="preserve">Additional file 2</w:t>
      </w:r>
      <w:r>
        <w:t xml:space="preserve"> </w:t>
      </w:r>
      <w:r>
        <w:t xml:space="preserve">(.docx): STROBE checklist for cross-sectional studies.</w:t>
      </w:r>
    </w:p>
    <w:p>
      <w:pPr>
        <w:pStyle w:val="BodyText"/>
      </w:pPr>
      <w:r>
        <w:rPr>
          <w:bCs/>
          <w:b/>
        </w:rPr>
        <w:t xml:space="preserve">Additional file 3</w:t>
      </w:r>
      <w:r>
        <w:t xml:space="preserve"> </w:t>
      </w:r>
      <w:r>
        <w:t xml:space="preserve">(.docx): CHERRIES checklist for web-based surveys.</w:t>
      </w:r>
    </w:p>
    <w:bookmarkEnd w:id="62"/>
    <w:sectPr>
      <w:footerReference w:type="default" r:id="rId9"/>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4"/>
    </w:rPr>
  </w:style>
  <w:style w:styleId="BodyText" w:type="paragraph">
    <w:name w:val="Body Text"/>
    <w:basedOn w:val="Normal"/>
    <w:link w:val="BodyTextChar"/>
    <w:pPr>
      <w:spacing w:after="180" w:before="180" w:line="480" w:lineRule="auto"/>
    </w:pPr>
    <w:qFormat/>
    <w:rPr>
      <w:rFonts w:ascii="Times New Roman" w:hAnsi="Times New Roman"/>
      <w:sz w:val="24"/>
    </w:rPr>
  </w:style>
  <w:style w:customStyle="1" w:styleId="FirstParagraph" w:type="paragraph">
    <w:name w:val="First Paragraph"/>
    <w:basedOn w:val="BodyText"/>
    <w:next w:val="BodyText"/>
    <w:qFormat/>
    <w:pPr>
      <w:spacing w:line="480" w:lineRule="auto"/>
    </w:pPr>
    <w:rPr>
      <w:rFonts w:ascii="Times New Roman" w:hAnsi="Times New Roman"/>
      <w:sz w:val="24"/>
    </w:rPr>
  </w:style>
  <w:style w:customStyle="1" w:styleId="Compact" w:type="paragraph">
    <w:name w:val="Compact"/>
    <w:basedOn w:val="BodyText"/>
    <w:qFormat/>
    <w:pPr>
      <w:spacing w:after="36" w:before="36" w:line="48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4" Type="http://schemas.openxmlformats.org/officeDocument/2006/relationships/image" Target="media/rId54.png"/><Relationship Id="rId57" Type="http://schemas.openxmlformats.org/officeDocument/2006/relationships/image" Target="media/rId5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and Institutional Resilience in Cairo’s Health Sector: Examining the Mediating Role of Capacity Development in the Context of Environmental Crisis Management</dc:title>
  <dc:creator/>
  <cp:keywords/>
  <dcterms:created xsi:type="dcterms:W3CDTF">2026-10-17T11:02:57Z</dcterms:created>
  <dcterms:modified xsi:type="dcterms:W3CDTF">2026-10-17T11:02:57Z</dcterms:modified>
</cp:coreProperties>
</file>

<file path=docProps/custom.xml><?xml version="1.0" encoding="utf-8"?>
<Properties xmlns="http://schemas.openxmlformats.org/officeDocument/2006/custom-properties" xmlns:vt="http://schemas.openxmlformats.org/officeDocument/2006/docPropsVTypes"/>
</file>