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All questions were on a single page, and respondents could review and change their answers before submitting.</w:t>
      </w:r>
    </w:p>
    <w:p>
      <w:pPr>
        <w:pStyle w:val="BodyText"/>
      </w:pPr>
      <w:r>
        <w:t xml:space="preserve">The first page presented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failed the eligibility question and did not see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Data collection began after approval. The study was conducted in accordance with the Declaration of Helsinki. The first page of the online questionnaire presented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conceptualisation, methodology, questionnaire development, investigation (data collection), data curation, formal analysis, visualisation, writing (original draft). MSA: supervision, methodology, validation, writing (review and editing). Both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54" w:name="figure-legends"/>
    <w:p>
      <w:pPr>
        <w:pStyle w:val="Heading1"/>
      </w:pPr>
      <w:r>
        <w:t xml:space="preserve">Figure legends</w:t>
      </w:r>
    </w:p>
    <w:p>
      <w:pPr>
        <w:pStyle w:val="FirstParagraph"/>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54"/>
    <w:bookmarkStart w:id="55"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55"/>
    <w:bookmarkStart w:id="56"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56"/>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2026-10-17T10:24:31Z</dcterms:created>
  <dcterms:modified xsi:type="dcterms:W3CDTF">2026-10-17T10:24:31Z</dcterms:modified>
</cp:coreProperties>
</file>

<file path=docProps/custom.xml><?xml version="1.0" encoding="utf-8"?>
<Properties xmlns="http://schemas.openxmlformats.org/officeDocument/2006/custom-properties" xmlns:vt="http://schemas.openxmlformats.org/officeDocument/2006/docPropsVTypes"/>
</file>