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APT 38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可能操作来源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朝鲜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目标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美国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墨西哥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智利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巴西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乌拉圭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波兰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土耳其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俄罗斯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孟加拉国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马来西亚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越南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菲律宾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针对银行、媒体和政府机构</w:t>
      </w:r>
      <w:r>
        <w:rPr>
          <w:rFonts w:hint="eastAsia"/>
          <w:sz w:val="20"/>
          <w:szCs w:val="22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 xml:space="preserve">(CFR) 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事件类型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受政府支持的、以经济利益为目的犯罪行为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组织简介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eastAsia="zh-CN"/>
        </w:rPr>
        <w:t>APT38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被认为其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eastAsia="zh-CN"/>
        </w:rPr>
        <w:t>主要任务是针对金融机构和操纵银行间金融系统，为朝鲜政权筹集大笔资金。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其攻击痕迹与朝鲜其他间谍组织有一定程度上的联系，因此被认定其经济犯罪行为是受到朝鲜政府支持的。但其存在与其他纯间谍行为的朝鲜网络间谍组织明显差异，因此被独立定义为APT38。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APT38在攻击工具上有与TEMP.Hermit存在共享的迹象，但双方目的明显不同。APT38几乎完全处于经济获利为目的，也有可能为更多其他行为提供资料和支持，但其攻击结果是取得经济利益。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参考链接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20"/>
          <w:szCs w:val="22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"https://content.fireeye.com/apt/rpt-apt38"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https://content.fireeye.com/apt/rpt-apt38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20"/>
          <w:szCs w:val="22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"https://www.us-cert.gov/ncas/alerts/TA17-164A"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https://www.us-cert.gov/ncas/alerts/TA17-164A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20"/>
          <w:szCs w:val="22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"https://securelist.com/lazarus-under-the-hood/77908/"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https://securelist.com/lazarus-under-the-hood/77908/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4BD3F"/>
    <w:multiLevelType w:val="multilevel"/>
    <w:tmpl w:val="8E34BD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77DAA9E"/>
    <w:multiLevelType w:val="multilevel"/>
    <w:tmpl w:val="777DAA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2710B"/>
    <w:rsid w:val="0CDA0484"/>
    <w:rsid w:val="23CC1407"/>
    <w:rsid w:val="3052771E"/>
    <w:rsid w:val="42780AD4"/>
    <w:rsid w:val="489A7716"/>
    <w:rsid w:val="51FA4ABC"/>
    <w:rsid w:val="5E0A6304"/>
    <w:rsid w:val="5EFF5232"/>
    <w:rsid w:val="5F6420FA"/>
    <w:rsid w:val="60D56A3B"/>
    <w:rsid w:val="6392710B"/>
    <w:rsid w:val="7D6C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2020-05-27T01:42:00Z</dcterms:created>
  <dc:creator>A258</dc:creator>
  <cp:lastModifiedBy>A258</cp:lastModifiedBy>
  <dcterms:modified xsi:type="dcterms:W3CDTF">2020-06-24T04:28:34Z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