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 w:val="24"/>
          <w:szCs w:val="22"/>
        </w:rPr>
      </w:pPr>
      <w:r>
        <w:rPr>
          <w:rFonts w:hint="eastAsia"/>
          <w:sz w:val="24"/>
          <w:szCs w:val="22"/>
          <w:lang w:val="en-US" w:eastAsia="zh-CN"/>
        </w:rPr>
        <w:t>双龙</w:t>
      </w:r>
    </w:p>
    <w:p>
      <w:pPr>
        <w:keepNext w:val="0"/>
        <w:keepLines w:val="0"/>
        <w:widowControl/>
        <w:suppressLineNumbers w:val="0"/>
        <w:jc w:val="left"/>
        <w:rPr>
          <w:rFonts w:hint="eastAsia" w:ascii="宋体" w:hAnsi="宋体" w:eastAsia="宋体" w:cs="宋体"/>
          <w:b/>
          <w:i w:val="0"/>
          <w:caps w:val="0"/>
          <w:color w:val="212529"/>
          <w:spacing w:val="0"/>
          <w:sz w:val="22"/>
          <w:szCs w:val="22"/>
          <w:shd w:val="clear" w:fill="FFFFFF"/>
          <w:lang w:val="en-US" w:eastAsia="zh-CN"/>
        </w:rPr>
      </w:pPr>
      <w:r>
        <w:rPr>
          <w:rFonts w:hint="eastAsia" w:ascii="宋体" w:hAnsi="宋体" w:eastAsia="宋体" w:cs="宋体"/>
          <w:b/>
          <w:i w:val="0"/>
          <w:caps w:val="0"/>
          <w:color w:val="212529"/>
          <w:spacing w:val="0"/>
          <w:sz w:val="22"/>
          <w:szCs w:val="22"/>
          <w:shd w:val="clear" w:fill="FFFFFF"/>
          <w:lang w:val="en-US" w:eastAsia="zh-CN"/>
        </w:rPr>
        <w:t>别名：</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default" w:ascii="宋体" w:hAnsi="宋体" w:eastAsia="宋体" w:cs="宋体"/>
          <w:i w:val="0"/>
          <w:caps w:val="0"/>
          <w:color w:val="212529"/>
          <w:spacing w:val="0"/>
          <w:sz w:val="22"/>
          <w:szCs w:val="22"/>
          <w:shd w:val="clear" w:fill="FFFFFF"/>
          <w:lang w:val="en-US" w:eastAsia="zh-CN"/>
        </w:rPr>
        <w:t>Threat Group 2889, TG-2889</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可能操作来源</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jc w:val="left"/>
        <w:textAlignment w:val="auto"/>
        <w:rPr>
          <w:rFonts w:hint="eastAsia"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中国</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目标</w:t>
      </w:r>
      <w:r>
        <w:rPr>
          <w:rFonts w:hint="eastAsia" w:ascii="宋体" w:hAnsi="宋体" w:eastAsia="宋体" w:cs="宋体"/>
          <w:b/>
          <w:i w:val="0"/>
          <w:caps w:val="0"/>
          <w:color w:val="212529"/>
          <w:spacing w:val="0"/>
          <w:sz w:val="22"/>
          <w:szCs w:val="22"/>
          <w:shd w:val="clear" w:fill="FFFFFF"/>
        </w:rPr>
        <w:t>:</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中国香港</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法国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印度</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ascii="宋体" w:hAnsi="宋体" w:eastAsia="宋体" w:cs="宋体"/>
          <w:i w:val="0"/>
          <w:caps w:val="0"/>
          <w:color w:val="212529"/>
          <w:spacing w:val="0"/>
          <w:sz w:val="22"/>
          <w:szCs w:val="22"/>
          <w:shd w:val="clear" w:fill="FFFFFF"/>
          <w:lang w:val="en-US" w:eastAsia="zh-CN"/>
        </w:rPr>
        <w:t>意大利</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ascii="宋体" w:hAnsi="宋体" w:eastAsia="宋体" w:cs="宋体"/>
          <w:i w:val="0"/>
          <w:caps w:val="0"/>
          <w:color w:val="212529"/>
          <w:spacing w:val="0"/>
          <w:sz w:val="22"/>
          <w:szCs w:val="22"/>
          <w:shd w:val="clear" w:fill="FFFFFF"/>
          <w:lang w:val="en-US" w:eastAsia="zh-CN"/>
        </w:rPr>
        <w:t>日本</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缅甸</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ascii="宋体" w:hAnsi="宋体" w:eastAsia="宋体" w:cs="宋体"/>
          <w:i w:val="0"/>
          <w:caps w:val="0"/>
          <w:color w:val="212529"/>
          <w:spacing w:val="0"/>
          <w:sz w:val="22"/>
          <w:szCs w:val="22"/>
          <w:shd w:val="clear" w:fill="FFFFFF"/>
          <w:lang w:val="en-US" w:eastAsia="zh-CN"/>
        </w:rPr>
        <w:t>荷兰</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新加坡</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韩国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南非</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ascii="宋体" w:hAnsi="宋体" w:eastAsia="宋体" w:cs="宋体"/>
          <w:i w:val="0"/>
          <w:caps w:val="0"/>
          <w:color w:val="212529"/>
          <w:spacing w:val="0"/>
          <w:sz w:val="22"/>
          <w:szCs w:val="22"/>
          <w:shd w:val="clear" w:fill="FFFFFF"/>
          <w:lang w:val="en-US" w:eastAsia="zh-CN"/>
        </w:rPr>
        <w:t>瑞士</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泰国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土耳其</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英国</w:t>
      </w:r>
    </w:p>
    <w:p>
      <w:pPr>
        <w:keepNext w:val="0"/>
        <w:keepLines w:val="0"/>
        <w:widowControl/>
        <w:numPr>
          <w:ilvl w:val="0"/>
          <w:numId w:val="1"/>
        </w:numPr>
        <w:suppressLineNumbers w:val="0"/>
        <w:spacing w:before="0" w:beforeAutospacing="1" w:after="0" w:afterAutospacing="1"/>
        <w:ind w:left="720" w:hanging="360"/>
        <w:jc w:val="left"/>
        <w:rPr>
          <w:sz w:val="20"/>
          <w:szCs w:val="22"/>
        </w:rPr>
      </w:pPr>
      <w:r>
        <w:rPr>
          <w:rFonts w:hint="eastAsia"/>
          <w:sz w:val="20"/>
          <w:szCs w:val="22"/>
          <w:lang w:val="en-US" w:eastAsia="zh-CN"/>
        </w:rPr>
        <w:t>美国</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rPr>
        <w:t xml:space="preserve">(CFR) </w:t>
      </w:r>
      <w:r>
        <w:rPr>
          <w:rFonts w:hint="eastAsia" w:ascii="宋体" w:hAnsi="宋体" w:eastAsia="宋体" w:cs="宋体"/>
          <w:b/>
          <w:i w:val="0"/>
          <w:caps w:val="0"/>
          <w:color w:val="212529"/>
          <w:spacing w:val="0"/>
          <w:sz w:val="22"/>
          <w:szCs w:val="22"/>
          <w:shd w:val="clear" w:fill="FFFFFF"/>
          <w:lang w:val="en-US" w:eastAsia="zh-CN"/>
        </w:rPr>
        <w:t>事件类型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间谍行为与网络犯罪并行</w:t>
      </w:r>
    </w:p>
    <w:p>
      <w:pPr>
        <w:keepNext w:val="0"/>
        <w:keepLines w:val="0"/>
        <w:widowControl/>
        <w:suppressLineNumbers w:val="0"/>
        <w:jc w:val="left"/>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组织简介</w:t>
      </w:r>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eastAsia"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在火眼威胁情报公司公布的报告中，认为APT41（代号双龙）是一个受中国政府资助，同时进行情报收集的间谍活动和个人谋利的网络犯罪双向活动的组织。</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eastAsia"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双龙组织的活动自2012年开始，始于游戏产业，后来逐渐扩展到间谍活动，直到2014年双向活动达到平衡。该组织的间谍活动瞄准的产业与中国五年发展方向大体一致，包括医疗、高科技产业、媒体、制药、零售、电信、旅游、教育、视频游戏、虚拟货币以及供应链制作相关的软件公司。其情报收集的活动迹象通常出现在与中国国家相关的重大经济事件和政治事件发生之前，且其目标与中共公家政策重点一致。而其处于经济目的的网络犯罪活动通常出现在中国时区的非工作时间，主要，面向游戏产业，包括相关加密货币的操纵。由于其双向活动中出现来自同一邮箱的不同目的的钓鱼邮件，因此被归为同一组织的行为。</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ind w:left="0" w:firstLine="420" w:firstLineChars="0"/>
        <w:jc w:val="left"/>
        <w:textAlignment w:val="auto"/>
        <w:rPr>
          <w:rFonts w:hint="default" w:ascii="宋体" w:hAnsi="宋体" w:eastAsia="宋体" w:cs="宋体"/>
          <w:i w:val="0"/>
          <w:caps w:val="0"/>
          <w:color w:val="212529"/>
          <w:spacing w:val="0"/>
          <w:sz w:val="22"/>
          <w:szCs w:val="22"/>
          <w:shd w:val="clear" w:fill="FFFFFF"/>
          <w:lang w:val="en-US" w:eastAsia="zh-CN"/>
        </w:rPr>
      </w:pPr>
      <w:r>
        <w:rPr>
          <w:rFonts w:hint="eastAsia" w:ascii="宋体" w:hAnsi="宋体" w:eastAsia="宋体" w:cs="宋体"/>
          <w:i w:val="0"/>
          <w:caps w:val="0"/>
          <w:color w:val="212529"/>
          <w:spacing w:val="0"/>
          <w:sz w:val="22"/>
          <w:szCs w:val="22"/>
          <w:shd w:val="clear" w:fill="FFFFFF"/>
          <w:lang w:val="en-US" w:eastAsia="zh-CN"/>
        </w:rPr>
        <w:t>双龙组织在攻击活动中，表现出对新漏洞的超快的反应速度和高效的利用能力。在攻击手法上擅长通过破坏签名证书签署恶意软件，以此入侵第三方服务商的软件供应链来访问游戏内部组织，并且利用已入侵的受害者作为跳板进行进一步的渗透。</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sz w:val="22"/>
          <w:szCs w:val="22"/>
        </w:rPr>
      </w:pPr>
      <w:r>
        <w:rPr>
          <w:rFonts w:hint="eastAsia" w:ascii="宋体" w:hAnsi="宋体" w:eastAsia="宋体" w:cs="宋体"/>
          <w:b/>
          <w:i w:val="0"/>
          <w:caps w:val="0"/>
          <w:color w:val="212529"/>
          <w:spacing w:val="0"/>
          <w:sz w:val="22"/>
          <w:szCs w:val="22"/>
          <w:shd w:val="clear" w:fill="FFFFFF"/>
          <w:lang w:val="en-US" w:eastAsia="zh-CN"/>
        </w:rPr>
        <w:t>参考链接</w:t>
      </w:r>
      <w:bookmarkStart w:id="0" w:name="_GoBack"/>
      <w:bookmarkEnd w:id="0"/>
      <w:r>
        <w:rPr>
          <w:rFonts w:hint="eastAsia" w:ascii="宋体" w:hAnsi="宋体" w:eastAsia="宋体" w:cs="宋体"/>
          <w:b/>
          <w:i w:val="0"/>
          <w:caps w:val="0"/>
          <w:color w:val="212529"/>
          <w:spacing w:val="0"/>
          <w:sz w:val="22"/>
          <w:szCs w:val="22"/>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hint="eastAsia"/>
          <w:sz w:val="20"/>
          <w:szCs w:val="22"/>
        </w:rPr>
        <w:fldChar w:fldCharType="begin"/>
      </w:r>
      <w:r>
        <w:rPr>
          <w:rFonts w:hint="eastAsia"/>
          <w:sz w:val="20"/>
          <w:szCs w:val="22"/>
        </w:rPr>
        <w:instrText xml:space="preserve"> HYPERLINK "https://www.fireeye.com/content/dam/fireeye-www/services/pdfs/mandiant-apt1-report.pdf" </w:instrText>
      </w:r>
      <w:r>
        <w:rPr>
          <w:rFonts w:hint="eastAsia"/>
          <w:sz w:val="20"/>
          <w:szCs w:val="22"/>
        </w:rPr>
        <w:fldChar w:fldCharType="separate"/>
      </w:r>
      <w:r>
        <w:rPr>
          <w:rStyle w:val="5"/>
          <w:rFonts w:hint="eastAsia"/>
          <w:sz w:val="20"/>
          <w:szCs w:val="22"/>
        </w:rPr>
        <w:t>https://www.fireeye.com/content/dam/fireeye-www/services/pdfs/mandiant-apt1-report.pdf</w:t>
      </w:r>
      <w:r>
        <w:rPr>
          <w:rFonts w:hint="eastAsia"/>
          <w:sz w:val="20"/>
          <w:szCs w:val="22"/>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hint="eastAsia"/>
          <w:sz w:val="20"/>
          <w:szCs w:val="22"/>
        </w:rPr>
        <w:fldChar w:fldCharType="begin"/>
      </w:r>
      <w:r>
        <w:rPr>
          <w:rFonts w:hint="eastAsia"/>
          <w:sz w:val="20"/>
          <w:szCs w:val="22"/>
        </w:rPr>
        <w:instrText xml:space="preserve"> HYPERLINK "https://www.fireeye.com/blog/threat-research/2014/05/the-pla-and-the-800am-500pm-work-day-fireeye-confirms-dojs-findings-on-apt1-intrusion-activity.html" </w:instrText>
      </w:r>
      <w:r>
        <w:rPr>
          <w:rFonts w:hint="eastAsia"/>
          <w:sz w:val="20"/>
          <w:szCs w:val="22"/>
        </w:rPr>
        <w:fldChar w:fldCharType="separate"/>
      </w:r>
      <w:r>
        <w:rPr>
          <w:rStyle w:val="5"/>
          <w:rFonts w:hint="eastAsia"/>
          <w:sz w:val="20"/>
          <w:szCs w:val="22"/>
        </w:rPr>
        <w:t>https://www.fireeye.com/blog/threat-research/2014/05/the-pla-and-the-800am-500pm-work-day-fireeye-confirms-dojs-findings-on-apt1-intrusion-activity.html</w:t>
      </w:r>
      <w:r>
        <w:rPr>
          <w:rFonts w:hint="eastAsia"/>
          <w:sz w:val="20"/>
          <w:szCs w:val="22"/>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hint="eastAsia"/>
          <w:sz w:val="20"/>
          <w:szCs w:val="22"/>
        </w:rPr>
        <w:fldChar w:fldCharType="begin"/>
      </w:r>
      <w:r>
        <w:rPr>
          <w:rFonts w:hint="eastAsia"/>
          <w:sz w:val="20"/>
          <w:szCs w:val="22"/>
        </w:rPr>
        <w:instrText xml:space="preserve"> HYPERLINK "https://www.fireeye.com/content/dam/fireeye-www/services/pdfs/mandiant-apt1-report-appendix.zip" </w:instrText>
      </w:r>
      <w:r>
        <w:rPr>
          <w:rFonts w:hint="eastAsia"/>
          <w:sz w:val="20"/>
          <w:szCs w:val="22"/>
        </w:rPr>
        <w:fldChar w:fldCharType="separate"/>
      </w:r>
      <w:r>
        <w:rPr>
          <w:rStyle w:val="5"/>
          <w:rFonts w:hint="eastAsia"/>
          <w:sz w:val="20"/>
          <w:szCs w:val="22"/>
        </w:rPr>
        <w:t>https://www.fireeye.com/content/dam/fireeye-www/services/pdfs/mandiant-apt1-report-appendix.zip</w:t>
      </w:r>
      <w:r>
        <w:rPr>
          <w:rFonts w:hint="eastAsia"/>
          <w:sz w:val="20"/>
          <w:szCs w:val="22"/>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rPr>
          <w:sz w:val="20"/>
          <w:szCs w:val="22"/>
        </w:rPr>
      </w:pPr>
      <w:r>
        <w:rPr>
          <w:rFonts w:hint="eastAsia"/>
          <w:sz w:val="20"/>
          <w:szCs w:val="22"/>
        </w:rPr>
        <w:fldChar w:fldCharType="begin"/>
      </w:r>
      <w:r>
        <w:rPr>
          <w:rFonts w:hint="eastAsia"/>
          <w:sz w:val="20"/>
          <w:szCs w:val="22"/>
        </w:rPr>
        <w:instrText xml:space="preserve"> HYPERLINK "https://www.mcafee.com/enterprise/en-us/assets/reports/rp-operation-oceansalt.pdf" </w:instrText>
      </w:r>
      <w:r>
        <w:rPr>
          <w:rFonts w:hint="eastAsia"/>
          <w:sz w:val="20"/>
          <w:szCs w:val="22"/>
        </w:rPr>
        <w:fldChar w:fldCharType="separate"/>
      </w:r>
      <w:r>
        <w:rPr>
          <w:rStyle w:val="5"/>
          <w:rFonts w:hint="eastAsia"/>
          <w:sz w:val="20"/>
          <w:szCs w:val="22"/>
        </w:rPr>
        <w:t>https://www.mcafee.com/enterprise/en-us/assets/reports/rp-operation-oceansalt.pdf</w:t>
      </w:r>
      <w:r>
        <w:rPr>
          <w:rFonts w:hint="eastAsia"/>
          <w:sz w:val="20"/>
          <w:szCs w:val="22"/>
        </w:rPr>
        <w:fldChar w:fldCharType="end"/>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firstLine="0"/>
        <w:jc w:val="left"/>
        <w:textAlignment w:val="auto"/>
      </w:pPr>
      <w:r>
        <w:rPr>
          <w:rFonts w:hint="eastAsia"/>
          <w:sz w:val="20"/>
          <w:szCs w:val="22"/>
        </w:rPr>
        <w:fldChar w:fldCharType="begin"/>
      </w:r>
      <w:r>
        <w:rPr>
          <w:rFonts w:hint="eastAsia"/>
          <w:sz w:val="20"/>
          <w:szCs w:val="22"/>
        </w:rPr>
        <w:instrText xml:space="preserve"> HYPERLINK "http://cdn0.vox-cdn.com/assets/4589853/crowdstrike-intelligence-report-putter-panda.original.pdf" </w:instrText>
      </w:r>
      <w:r>
        <w:rPr>
          <w:rFonts w:hint="eastAsia"/>
          <w:sz w:val="20"/>
          <w:szCs w:val="22"/>
        </w:rPr>
        <w:fldChar w:fldCharType="separate"/>
      </w:r>
      <w:r>
        <w:rPr>
          <w:rStyle w:val="5"/>
          <w:rFonts w:hint="eastAsia"/>
          <w:sz w:val="20"/>
          <w:szCs w:val="22"/>
        </w:rPr>
        <w:t>http://cdn0.vox-cdn.com/assets/4589853/crowdstrike-intelligence-report-putter-panda.original.pdf</w:t>
      </w:r>
      <w:r>
        <w:rPr>
          <w:rFonts w:hint="eastAsia"/>
          <w:sz w:val="20"/>
          <w:szCs w:val="22"/>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120" w:lineRule="auto"/>
        <w:ind w:leftChars="0"/>
        <w:jc w:val="lef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34BD3F"/>
    <w:multiLevelType w:val="multilevel"/>
    <w:tmpl w:val="8E34BD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7DAA9E"/>
    <w:multiLevelType w:val="multilevel"/>
    <w:tmpl w:val="777DAA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1D4B8C"/>
    <w:rsid w:val="00BC3312"/>
    <w:rsid w:val="41A63358"/>
    <w:rsid w:val="5F1D4B8C"/>
    <w:rsid w:val="61054141"/>
    <w:rsid w:val="6D085A5C"/>
    <w:rsid w:val="6FC3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2020-06-08T02:00:00Z</dcterms:created>
  <dc:creator>A258</dc:creator>
  <cp:lastModifiedBy>A258</cp:lastModifiedBy>
  <dcterms:modified xsi:type="dcterms:W3CDTF">2020-06-09T08:58:46Z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