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4F0EDCE8"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interim_order_date_within_10_days</w:t>
            </w:r>
            <w:r w:rsidR="00D14DE8">
              <w:t xml:space="preserve"> or  </w:t>
            </w:r>
            <w:r w:rsidR="00D14DE8" w:rsidRPr="00D14DE8">
              <w:t>final_order_date_within_</w:t>
            </w:r>
            <w:r w:rsidR="00D14DE8" w:rsidRPr="00D14DE8">
              <w:lastRenderedPageBreak/>
              <w:t>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0165E5">
              <w:fldChar w:fldCharType="begin"/>
            </w:r>
            <w:r w:rsidR="000165E5">
              <w:instrText xml:space="preserve"> SEQ stepList \* Arabic \* MERGEFORMAT </w:instrText>
            </w:r>
            <w:r w:rsidR="000165E5">
              <w:fldChar w:fldCharType="separate"/>
            </w:r>
            <w:r w:rsidR="004F7DDD">
              <w:rPr>
                <w:noProof/>
              </w:rPr>
              <w:t>4</w:t>
            </w:r>
            <w:r w:rsidR="000165E5">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lastRenderedPageBreak/>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lastRenderedPageBreak/>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t>Background</w:t>
            </w:r>
          </w:p>
          <w:p w14:paraId="6D66BB1F" w14:textId="72A53189" w:rsidR="00826FF5" w:rsidRPr="00826FF5" w:rsidRDefault="00826FF5" w:rsidP="00826FF5">
            <w:pPr>
              <w:pStyle w:val="Body"/>
            </w:pPr>
            <w:r w:rsidRPr="00826FF5">
              <w:t xml:space="preserve">An appeal is the way to ask the Alaska Supreme Court to review the trial judge’s decision in your case. </w:t>
            </w:r>
            <w:r w:rsidR="00F92518" w:rsidRPr="00F92518">
              <w:t>It is not a new trial or a chance to give a judge new evidence or information.  In an appeal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Alaska Court System 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lastRenderedPageBreak/>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4809E173" w:rsidR="00536E32" w:rsidRDefault="00AE5207" w:rsidP="0054121B">
            <w:pPr>
              <w:pStyle w:val="BodyText"/>
              <w:rPr>
                <w:shd w:val="clear" w:color="auto" w:fill="FFFFFF"/>
              </w:rPr>
            </w:pPr>
            <w:r w:rsidRPr="00DA61AF">
              <w:t xml:space="preserve">{%tr if </w:t>
            </w:r>
            <w:r w:rsidR="00952CD8">
              <w:t>user_need == "change custody order" and</w:t>
            </w:r>
            <w:r w:rsidR="00333B90">
              <w:t xml:space="preserve"> why_change == 'problem' and </w:t>
            </w:r>
            <w:r w:rsidR="00952CD8">
              <w:t xml:space="preserve"> </w:t>
            </w:r>
            <w:r w:rsidR="004A7ECC">
              <w:t xml:space="preserve">not </w:t>
            </w:r>
            <w:r w:rsidR="004A7ECC" w:rsidRPr="004A7ECC">
              <w:t>final_order_date_within_1</w:t>
            </w:r>
            <w:r w:rsidR="004A7ECC">
              <w:t>0</w:t>
            </w:r>
            <w:r w:rsidR="004A7ECC" w:rsidRPr="004A7ECC">
              <w:t>_days</w:t>
            </w:r>
            <w:r w:rsidR="004A7ECC">
              <w:t xml:space="preserve"> </w:t>
            </w:r>
            <w:r w:rsidR="006159CF">
              <w:t xml:space="preserve">or unknown_final_date['set aside'] </w:t>
            </w:r>
            <w:r w:rsidRPr="00DA61AF">
              <w:t>%}</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lastRenderedPageBreak/>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lastRenderedPageBreak/>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lastRenderedPageBreak/>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0165E5"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lastRenderedPageBreak/>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lastRenderedPageBreak/>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lastRenderedPageBreak/>
              <w:t>Submit the following packet to the Alaska court</w:t>
            </w:r>
          </w:p>
          <w:p w14:paraId="0849A7EE" w14:textId="44C05292" w:rsidR="000C1B55" w:rsidRDefault="002B1ACA" w:rsidP="00D23389">
            <w:pPr>
              <w:pStyle w:val="Body"/>
              <w:numPr>
                <w:ilvl w:val="0"/>
                <w:numId w:val="16"/>
              </w:numPr>
              <w:ind w:left="510"/>
            </w:pPr>
            <w:r w:rsidRPr="00544861">
              <w:lastRenderedPageBreak/>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lastRenderedPageBreak/>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lastRenderedPageBreak/>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6F22B717"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 xml:space="preserve">Learn about motions to </w:t>
            </w:r>
            <w:r w:rsidR="0054121B">
              <w:rPr>
                <w:shd w:val="clear" w:color="auto" w:fill="FFFFFF"/>
              </w:rPr>
              <w:lastRenderedPageBreak/>
              <w:t>modify</w:t>
            </w:r>
          </w:p>
        </w:tc>
        <w:tc>
          <w:tcPr>
            <w:tcW w:w="7612" w:type="dxa"/>
            <w:tcMar>
              <w:top w:w="432" w:type="dxa"/>
              <w:left w:w="115" w:type="dxa"/>
              <w:right w:w="115" w:type="dxa"/>
            </w:tcMar>
          </w:tcPr>
          <w:p w14:paraId="1166589C" w14:textId="0932356C" w:rsidR="00D871B2" w:rsidRDefault="00D871B2" w:rsidP="00544861">
            <w:pPr>
              <w:pStyle w:val="Body"/>
              <w:spacing w:before="240"/>
            </w:pPr>
            <w:r>
              <w:lastRenderedPageBreak/>
              <w:t xml:space="preserve">Changing your parenting plan or child support order is called "modifying" it. To ask the judge to change your order, file a </w:t>
            </w:r>
            <w:r w:rsidRPr="009D0587">
              <w:rPr>
                <w:b/>
                <w:bCs/>
              </w:rPr>
              <w:t xml:space="preserve">Motion to </w:t>
            </w:r>
            <w:r w:rsidRPr="009D0587">
              <w:rPr>
                <w:b/>
                <w:bCs/>
              </w:rPr>
              <w:lastRenderedPageBreak/>
              <w:t>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77777777"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if not middle_of_case %}</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0165E5"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xml:space="preserve">.  Use </w:t>
            </w:r>
            <w:r>
              <w:lastRenderedPageBreak/>
              <w:t>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0165E5"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0165E5"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0165E5">
              <w:fldChar w:fldCharType="begin"/>
            </w:r>
            <w:r w:rsidR="000165E5">
              <w:instrText xml:space="preserve"> SEQ stepList \* MERGEFORMAT </w:instrText>
            </w:r>
            <w:r w:rsidR="000165E5">
              <w:fldChar w:fldCharType="separate"/>
            </w:r>
            <w:r w:rsidR="004F7DDD">
              <w:rPr>
                <w:noProof/>
              </w:rPr>
              <w:t>17</w:t>
            </w:r>
            <w:r w:rsidR="000165E5">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w:t>
            </w:r>
            <w:r w:rsidRPr="00615A16">
              <w:rPr>
                <w:b/>
                <w:bCs/>
              </w:rPr>
              <w:lastRenderedPageBreak/>
              <w:t xml:space="preserve">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320599A" w:rsidR="00C869A0" w:rsidRDefault="00C869A0" w:rsidP="0081136F">
            <w:pPr>
              <w:pStyle w:val="BodyText"/>
              <w:rPr>
                <w:shd w:val="clear" w:color="auto" w:fill="FFFFFF"/>
              </w:rPr>
            </w:pPr>
            <w:r>
              <w:rPr>
                <w:shd w:val="clear" w:color="auto" w:fill="FFFFFF"/>
              </w:rPr>
              <w:t>{%tr if user_need in('change custody order', 'change foreign custody order'</w:t>
            </w:r>
            <w:r w:rsidR="00F15379">
              <w:rPr>
                <w:shd w:val="clear" w:color="auto" w:fill="FFFFFF"/>
              </w:rPr>
              <w:t xml:space="preserve">) </w:t>
            </w:r>
            <w:r w:rsidR="006159CF">
              <w:rPr>
                <w:shd w:val="clear" w:color="auto" w:fill="FFFFFF"/>
              </w:rPr>
              <w:t xml:space="preserve">and </w:t>
            </w:r>
            <w:r w:rsidR="00E72291">
              <w:rPr>
                <w:shd w:val="clear" w:color="auto" w:fill="FFFFFF"/>
              </w:rPr>
              <w:t>(not d</w:t>
            </w:r>
            <w:r w:rsidR="006159CF">
              <w:rPr>
                <w:shd w:val="clear" w:color="auto" w:fill="FFFFFF"/>
              </w:rPr>
              <w:t>efined(</w:t>
            </w:r>
            <w:r w:rsidR="00D2501A">
              <w:rPr>
                <w:shd w:val="clear" w:color="auto" w:fill="FFFFFF"/>
              </w:rPr>
              <w:t>'</w:t>
            </w:r>
            <w:r w:rsidR="00D2501A" w:rsidRPr="00DE7CD3">
              <w:rPr>
                <w:shd w:val="clear" w:color="auto" w:fill="FFFFFF"/>
              </w:rPr>
              <w:t>unknown_final_date</w:t>
            </w:r>
            <w:r w:rsidR="00D2501A">
              <w:rPr>
                <w:shd w:val="clear" w:color="auto" w:fill="FFFFFF"/>
              </w:rPr>
              <w:t>'</w:t>
            </w:r>
            <w:r w:rsidR="006159CF">
              <w:rPr>
                <w:shd w:val="clear" w:color="auto" w:fill="FFFFFF"/>
              </w:rPr>
              <w:t>)</w:t>
            </w:r>
            <w:r w:rsidR="00D2501A">
              <w:rPr>
                <w:shd w:val="clear" w:color="auto" w:fill="FFFFFF"/>
              </w:rPr>
              <w:t xml:space="preserve"> </w:t>
            </w:r>
            <w:r w:rsidR="00E72291">
              <w:rPr>
                <w:shd w:val="clear" w:color="auto" w:fill="FFFFFF"/>
              </w:rPr>
              <w:t>or (</w:t>
            </w:r>
            <w:r w:rsidR="00D2501A" w:rsidRPr="00DE7CD3">
              <w:rPr>
                <w:shd w:val="clear" w:color="auto" w:fill="FFFFFF"/>
              </w:rPr>
              <w:t>(unknown_final_date.true_values())|list|length =</w:t>
            </w:r>
            <w:r w:rsidR="000F2E19" w:rsidRPr="00DE7CD3">
              <w:rPr>
                <w:shd w:val="clear" w:color="auto" w:fill="FFFFFF"/>
              </w:rPr>
              <w:t>=</w:t>
            </w:r>
            <w:r w:rsidR="00D2501A" w:rsidRPr="00DE7CD3">
              <w:rPr>
                <w:shd w:val="clear" w:color="auto" w:fill="FFFFFF"/>
              </w:rPr>
              <w:t xml:space="preserve"> 1 and not unknown_final_date['appeal'])</w:t>
            </w:r>
            <w:r w:rsidR="00E72291" w:rsidRPr="00DE7CD3">
              <w:rPr>
                <w:shd w:val="clear" w:color="auto" w:fill="FFFFFF"/>
              </w:rPr>
              <w:t>)</w:t>
            </w:r>
            <w:r>
              <w:rPr>
                <w:shd w:val="clear" w:color="auto" w:fill="FFFFFF"/>
              </w:rPr>
              <w:t>%}</w:t>
            </w:r>
          </w:p>
        </w:tc>
        <w:tc>
          <w:tcPr>
            <w:tcW w:w="7612" w:type="dxa"/>
            <w:tcMar>
              <w:top w:w="432" w:type="dxa"/>
              <w:left w:w="115" w:type="dxa"/>
              <w:right w:w="115" w:type="dxa"/>
            </w:tcMar>
          </w:tcPr>
          <w:p w14:paraId="034887BB" w14:textId="77777777"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w:t>
            </w:r>
            <w:r>
              <w:lastRenderedPageBreak/>
              <w:t xml:space="preserve">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3EC347C"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F15D34">
              <w:rPr>
                <w:color w:val="00B0F0"/>
              </w:rPr>
              <w:t>(user_need == 'change foreign custody order' or middle</w:t>
            </w:r>
            <w:r w:rsidR="00E16BE9">
              <w:rPr>
                <w:color w:val="00B0F0"/>
              </w:rPr>
              <w:t>_</w:t>
            </w:r>
            <w:r w:rsidR="00F15D34">
              <w:rPr>
                <w:color w:val="00B0F0"/>
              </w:rPr>
              <w:t>of</w:t>
            </w:r>
            <w:r w:rsidR="00E16BE9">
              <w:rPr>
                <w:color w:val="00B0F0"/>
              </w:rPr>
              <w:t>_</w:t>
            </w:r>
            <w:r w:rsidR="00F15D34">
              <w:rPr>
                <w:color w:val="00B0F0"/>
              </w:rPr>
              <w:t>case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r>
            <w:r>
              <w:lastRenderedPageBreak/>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0165E5"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0165E5"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0165E5"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w:t>
            </w:r>
            <w:r>
              <w:lastRenderedPageBreak/>
              <w:t xml:space="preserve">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0165E5"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'change custody order'</w:t>
            </w:r>
            <w:r w:rsidR="009C0314">
              <w:rPr>
                <w:shd w:val="clear" w:color="auto" w:fill="FFFFFF"/>
              </w:rPr>
              <w:t>,'</w:t>
            </w:r>
            <w:r w:rsidR="009C0314" w:rsidRPr="009C0314">
              <w:rPr>
                <w:shd w:val="clear" w:color="auto" w:fill="FFFFFF"/>
              </w:rPr>
              <w:t>change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xml:space="preserve">{{ </w:t>
            </w:r>
            <w:r w:rsidR="00711196">
              <w:lastRenderedPageBreak/>
              <w:t>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lastRenderedPageBreak/>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lastRenderedPageBreak/>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w:t>
            </w:r>
            <w:r w:rsidRPr="00AF341D">
              <w:lastRenderedPageBreak/>
              <w:t xml:space="preserve">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0165E5"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0165E5"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0165E5"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lastRenderedPageBreak/>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0165E5"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0165E5"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1428C9C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4F7DDD">
              <w:rPr>
                <w:rFonts w:eastAsia="Arial"/>
                <w:b/>
                <w:bCs/>
              </w:rPr>
              <w:t>Error! Reference source not found.</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2E1F9DF3" w:rsidR="00A50D37" w:rsidRPr="00E34C8D" w:rsidRDefault="00E34C8D" w:rsidP="00E34C8D">
            <w:pPr>
              <w:pStyle w:val="ListParagraph"/>
              <w:ind w:left="422"/>
            </w:pPr>
            <w:r w:rsidRPr="00E34C8D">
              <w:t xml:space="preserve">You can contact the other parent and put your agreement in </w:t>
            </w:r>
            <w:r w:rsidRPr="00E34C8D">
              <w:lastRenderedPageBreak/>
              <w:t>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4F7DDD">
              <w:rPr>
                <w:rFonts w:eastAsia="Arial"/>
                <w:b/>
                <w:bCs/>
              </w:rPr>
              <w:t>Error! Reference source not found.</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77777777"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I</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in('custody','all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 xml:space="preserve">The parent the children were living with 4 days a week went to jail, </w:t>
            </w:r>
            <w:r>
              <w:lastRenderedPageBreak/>
              <w:t>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in('custody','child support','all divorce')</w:t>
            </w:r>
            <w:r w:rsidRPr="00E400A2">
              <w:rPr>
                <w:color w:val="0070C0"/>
              </w:rPr>
              <w:t xml:space="preserve"> %}</w:t>
            </w:r>
            <w:r w:rsidR="00A87B0A" w:rsidRPr="007D3767">
              <w:rPr>
                <w:b/>
                <w:bCs/>
              </w:rPr>
              <w:t>For 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in('custody','all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in('custody','child support','all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You must respond within 10 days from the day the motion  was hand-</w:t>
            </w:r>
            <w:r>
              <w:lastRenderedPageBreak/>
              <w:t xml:space="preserve">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5B82C107"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0165E5"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w:t>
            </w:r>
            <w:r>
              <w:rPr>
                <w:shd w:val="clear" w:color="auto" w:fill="FFFFFF"/>
              </w:rPr>
              <w:lastRenderedPageBreak/>
              <w:t>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0165E5"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0165E5"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lastRenderedPageBreak/>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Pr="00B61C19">
              <w:rPr>
                <w:rStyle w:val="BodyTextChar"/>
              </w:rPr>
              <w:lastRenderedPageBreak/>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lastRenderedPageBreak/>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lastRenderedPageBreak/>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lastRenderedPageBreak/>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w:t>
            </w:r>
            <w:r w:rsidRPr="009729E7">
              <w:lastRenderedPageBreak/>
              <w:t xml:space="preserve">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lastRenderedPageBreak/>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lastRenderedPageBreak/>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lastRenderedPageBreak/>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0165E5">
      <w:fldChar w:fldCharType="begin"/>
    </w:r>
    <w:r w:rsidR="000165E5">
      <w:instrText xml:space="preserve"> NUMPAGES  \* Arabic  \* MERGEFORMAT </w:instrText>
    </w:r>
    <w:r w:rsidR="000165E5">
      <w:fldChar w:fldCharType="separate"/>
    </w:r>
    <w:r>
      <w:rPr>
        <w:noProof/>
      </w:rPr>
      <w:t>26</w:t>
    </w:r>
    <w:r w:rsidR="000165E5">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252D"/>
    <w:rsid w:val="00105522"/>
    <w:rsid w:val="00105C17"/>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2E92"/>
    <w:rsid w:val="0016410B"/>
    <w:rsid w:val="00165B9D"/>
    <w:rsid w:val="00165CF6"/>
    <w:rsid w:val="001676CC"/>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EE3"/>
    <w:rsid w:val="0063770E"/>
    <w:rsid w:val="006418AE"/>
    <w:rsid w:val="00641ADA"/>
    <w:rsid w:val="00645163"/>
    <w:rsid w:val="00645829"/>
    <w:rsid w:val="00647497"/>
    <w:rsid w:val="00650F1E"/>
    <w:rsid w:val="006525A3"/>
    <w:rsid w:val="006528DC"/>
    <w:rsid w:val="006532FF"/>
    <w:rsid w:val="00654D16"/>
    <w:rsid w:val="00655C33"/>
    <w:rsid w:val="00660CA4"/>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77A1F"/>
    <w:rsid w:val="00780385"/>
    <w:rsid w:val="00783BF2"/>
    <w:rsid w:val="00785663"/>
    <w:rsid w:val="00797274"/>
    <w:rsid w:val="007A00C5"/>
    <w:rsid w:val="007A7855"/>
    <w:rsid w:val="007B3DD3"/>
    <w:rsid w:val="007B40A5"/>
    <w:rsid w:val="007B4F20"/>
    <w:rsid w:val="007B75D0"/>
    <w:rsid w:val="007B7F77"/>
    <w:rsid w:val="007C0D17"/>
    <w:rsid w:val="007C0EEB"/>
    <w:rsid w:val="007C2557"/>
    <w:rsid w:val="007C3765"/>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4F4F"/>
    <w:rsid w:val="00A97927"/>
    <w:rsid w:val="00AA14EB"/>
    <w:rsid w:val="00AA5A30"/>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F0807"/>
    <w:rsid w:val="00AF0D8A"/>
    <w:rsid w:val="00AF3F5D"/>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96A"/>
    <w:rsid w:val="00B839B1"/>
    <w:rsid w:val="00B83BBE"/>
    <w:rsid w:val="00B85160"/>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10781</Words>
  <Characters>61452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2023-09-01T00:19:00Z</dcterms:created>
  <dcterms:modified xsi:type="dcterms:W3CDTF">2023-09-05T16:54:00Z</dcterms:modified>
</cp:coreProperties>
</file>