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w:t>
            </w:r>
            <w:r w:rsidR="00D14DE8" w:rsidRPr="00D14DE8">
              <w:lastRenderedPageBreak/>
              <w:t>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9B3AF2">
              <w:fldChar w:fldCharType="begin"/>
            </w:r>
            <w:r w:rsidR="009B3AF2">
              <w:instrText xml:space="preserve"> SEQ stepList \* Arabic \* MERGEFORMAT </w:instrText>
            </w:r>
            <w:r w:rsidR="009B3AF2">
              <w:fldChar w:fldCharType="separate"/>
            </w:r>
            <w:r w:rsidR="004F7DDD">
              <w:rPr>
                <w:noProof/>
              </w:rPr>
              <w:t>4</w:t>
            </w:r>
            <w:r w:rsidR="009B3AF2">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lastRenderedPageBreak/>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lastRenderedPageBreak/>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1D1913A7" w:rsidR="00536E32" w:rsidRDefault="00AE5207" w:rsidP="0054121B">
            <w:pPr>
              <w:pStyle w:val="BodyText"/>
              <w:rPr>
                <w:shd w:val="clear" w:color="auto" w:fill="FFFFFF"/>
              </w:rPr>
            </w:pPr>
            <w:r w:rsidRPr="007B3B68">
              <w:t xml:space="preserve">{%tr if </w:t>
            </w:r>
            <w:r w:rsidR="00952CD8" w:rsidRPr="007B3B68">
              <w:t xml:space="preserve">user_need == "change custody order" </w:t>
            </w:r>
            <w:r w:rsidR="0065106F" w:rsidRPr="007B3B68">
              <w:t xml:space="preserve">and why_change == 'problem' and not final_order_date_within_10_days and </w:t>
            </w:r>
            <w:r w:rsidR="007C41D7" w:rsidRPr="007B3B68">
              <w:t>(</w:t>
            </w:r>
            <w:r w:rsidR="0065106F" w:rsidRPr="007B3B68">
              <w:t xml:space="preserve">not defined('unknown_final_date') </w:t>
            </w:r>
            <w:r w:rsidR="007C41D7" w:rsidRPr="007B3B68">
              <w:t>or unknown_final_date</w:t>
            </w:r>
            <w:r w:rsidR="000B5C09" w:rsidRPr="007B3B68">
              <w:t>['</w:t>
            </w:r>
            <w:r w:rsidR="007C41D7" w:rsidRPr="007B3B68">
              <w:t>set aside'</w:t>
            </w:r>
            <w:r w:rsidR="000B5C09" w:rsidRPr="007B3B68">
              <w:t>])</w:t>
            </w:r>
            <w:r w:rsidR="007C41D7" w:rsidRPr="007B3B68">
              <w:t xml:space="preserve"> </w:t>
            </w:r>
            <w:r w:rsidRPr="007B3B68">
              <w:t>%}</w:t>
            </w:r>
          </w:p>
        </w:tc>
        <w:tc>
          <w:tcPr>
            <w:tcW w:w="7612" w:type="dxa"/>
            <w:tcMar>
              <w:top w:w="432" w:type="dxa"/>
              <w:left w:w="115" w:type="dxa"/>
              <w:right w:w="115" w:type="dxa"/>
            </w:tcMar>
          </w:tcPr>
          <w:p w14:paraId="0B58BE45" w14:textId="0242A4F1"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 xml:space="preserve">The date the court sent the order to you is in at the bottom of the last </w:t>
            </w:r>
            <w:r>
              <w:lastRenderedPageBreak/>
              <w:t>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lastRenderedPageBreak/>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 xml:space="preserve">You may be able to come up with a different good reason the judge </w:t>
            </w:r>
            <w:r>
              <w:lastRenderedPageBreak/>
              <w:t>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9B3AF2"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lastRenderedPageBreak/>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lastRenderedPageBreak/>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lastRenderedPageBreak/>
              <w:t>Submit the following packet to the Alaska court</w:t>
            </w:r>
          </w:p>
          <w:p w14:paraId="0849A7EE" w14:textId="44C05292" w:rsidR="000C1B55" w:rsidRDefault="002B1ACA" w:rsidP="00D23389">
            <w:pPr>
              <w:pStyle w:val="Body"/>
              <w:numPr>
                <w:ilvl w:val="0"/>
                <w:numId w:val="16"/>
              </w:numPr>
              <w:ind w:left="510"/>
            </w:pPr>
            <w:r w:rsidRPr="00544861">
              <w:lastRenderedPageBreak/>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lastRenderedPageBreak/>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lastRenderedPageBreak/>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4F3608D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w:t>
            </w:r>
            <w:r w:rsidR="0054121B">
              <w:rPr>
                <w:shd w:val="clear" w:color="auto" w:fill="FFFFFF"/>
              </w:rPr>
              <w:lastRenderedPageBreak/>
              <w:t>about motions to modify</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 xml:space="preserve">Motion to </w:t>
            </w:r>
            <w:r w:rsidRPr="009D0587">
              <w:rPr>
                <w:b/>
                <w:bCs/>
              </w:rPr>
              <w:lastRenderedPageBreak/>
              <w:t>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424BF1C6"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551D70" w:rsidRPr="00551D70">
              <w:rPr>
                <w:color w:val="FF0000"/>
              </w:rPr>
              <w:t xml:space="preserve">middle_of_case </w:t>
            </w:r>
            <w:r w:rsidR="00A068F5">
              <w:rPr>
                <w:color w:val="FF0000"/>
              </w:rPr>
              <w:t xml:space="preserve">== 'no' </w:t>
            </w:r>
            <w:r w:rsidR="00551D70" w:rsidRPr="00551D70">
              <w:rPr>
                <w:color w:val="FF0000"/>
              </w:rPr>
              <w:t>%}</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9B3AF2"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xml:space="preserve">.  Use </w:t>
            </w:r>
            <w:r>
              <w:lastRenderedPageBreak/>
              <w:t>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9B3AF2"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9B3AF2"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9B3AF2">
              <w:fldChar w:fldCharType="begin"/>
            </w:r>
            <w:r w:rsidR="009B3AF2">
              <w:instrText xml:space="preserve"> SEQ stepList \* M</w:instrText>
            </w:r>
            <w:r w:rsidR="009B3AF2">
              <w:instrText xml:space="preserve">ERGEFORMAT </w:instrText>
            </w:r>
            <w:r w:rsidR="009B3AF2">
              <w:fldChar w:fldCharType="separate"/>
            </w:r>
            <w:r w:rsidR="004F7DDD">
              <w:rPr>
                <w:noProof/>
              </w:rPr>
              <w:t>17</w:t>
            </w:r>
            <w:r w:rsidR="009B3AF2">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w:t>
            </w:r>
            <w:r w:rsidRPr="00615A16">
              <w:rPr>
                <w:b/>
                <w:bCs/>
              </w:rPr>
              <w:lastRenderedPageBreak/>
              <w:t xml:space="preserve">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619444F" w:rsidR="00C869A0" w:rsidRDefault="00C869A0" w:rsidP="0081136F">
            <w:pPr>
              <w:pStyle w:val="BodyText"/>
              <w:rPr>
                <w:shd w:val="clear" w:color="auto" w:fill="FFFFFF"/>
              </w:rPr>
            </w:pPr>
            <w:r>
              <w:rPr>
                <w:shd w:val="clear" w:color="auto" w:fill="FFFFFF"/>
              </w:rPr>
              <w:t xml:space="preserve">{%tr if user_need </w:t>
            </w:r>
            <w:r w:rsidR="003870A3">
              <w:rPr>
                <w:shd w:val="clear" w:color="auto" w:fill="FFFFFF"/>
              </w:rPr>
              <w:t xml:space="preserve">== 'change foreign custody order' or </w:t>
            </w:r>
            <w:r w:rsidR="003870A3" w:rsidRPr="003870A3">
              <w:rPr>
                <w:color w:val="FF0000"/>
                <w:shd w:val="clear" w:color="auto" w:fill="FFFFFF"/>
              </w:rPr>
              <w:t>(</w:t>
            </w:r>
            <w:r w:rsidR="003870A3">
              <w:rPr>
                <w:shd w:val="clear" w:color="auto" w:fill="FFFFFF"/>
              </w:rPr>
              <w:t xml:space="preserve">user_need == </w:t>
            </w:r>
            <w:r>
              <w:rPr>
                <w:shd w:val="clear" w:color="auto" w:fill="FFFFFF"/>
              </w:rPr>
              <w:t>'change custody order'</w:t>
            </w:r>
            <w:r w:rsidR="003870A3">
              <w:rPr>
                <w:shd w:val="clear" w:color="auto" w:fill="FFFFFF"/>
              </w:rPr>
              <w:t xml:space="preserve"> </w:t>
            </w:r>
            <w:r w:rsidR="006159CF">
              <w:rPr>
                <w:shd w:val="clear" w:color="auto" w:fill="FFFFFF"/>
              </w:rPr>
              <w:t xml:space="preserve">and </w:t>
            </w:r>
            <w:r w:rsidR="00E72291">
              <w:rPr>
                <w:shd w:val="clear" w:color="auto" w:fill="FFFFFF"/>
              </w:rPr>
              <w:t xml:space="preserve">not </w:t>
            </w:r>
            <w:r w:rsidR="00D2501A" w:rsidRPr="00DE7CD3">
              <w:rPr>
                <w:shd w:val="clear" w:color="auto" w:fill="FFFFFF"/>
              </w:rPr>
              <w:t>unknown_final_date.</w:t>
            </w:r>
            <w:r w:rsidR="003870A3">
              <w:rPr>
                <w:shd w:val="clear" w:color="auto" w:fill="FFFFFF"/>
              </w:rPr>
              <w:t>all_true</w:t>
            </w:r>
            <w:r w:rsidR="003870A3" w:rsidRPr="003870A3">
              <w:rPr>
                <w:color w:val="00B050"/>
                <w:shd w:val="clear" w:color="auto" w:fill="FFFFFF"/>
              </w:rPr>
              <w:t>(</w:t>
            </w:r>
            <w:r w:rsidR="003870A3">
              <w:rPr>
                <w:shd w:val="clear" w:color="auto" w:fill="FFFFFF"/>
              </w:rPr>
              <w:t xml:space="preserve">'appeal', exclusive = True </w:t>
            </w:r>
            <w:r w:rsidR="003870A3" w:rsidRPr="003870A3">
              <w:rPr>
                <w:color w:val="00B050"/>
                <w:shd w:val="clear" w:color="auto" w:fill="FFFFFF"/>
              </w:rPr>
              <w:t>)</w:t>
            </w:r>
            <w:r w:rsidR="003870A3" w:rsidRPr="003870A3">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5AA67EF"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lastRenderedPageBreak/>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50F8858B"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F15D34">
              <w:rPr>
                <w:color w:val="00B0F0"/>
              </w:rPr>
              <w:t>(user_need == 'change foreign custody order'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E42572">
              <w:rPr>
                <w:color w:val="00B0F0"/>
              </w:rPr>
              <w:t xml:space="preserve"> or middle_of_case == 'no'</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lastRenderedPageBreak/>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9B3AF2"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9B3AF2"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9B3AF2"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w:t>
            </w:r>
            <w:r>
              <w:lastRenderedPageBreak/>
              <w:t xml:space="preserve">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9B3AF2"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'change custody order'</w:t>
            </w:r>
            <w:r w:rsidR="009C0314">
              <w:rPr>
                <w:shd w:val="clear" w:color="auto" w:fill="FFFFFF"/>
              </w:rPr>
              <w:t>,'</w:t>
            </w:r>
            <w:r w:rsidR="009C0314" w:rsidRPr="009C0314">
              <w:rPr>
                <w:shd w:val="clear" w:color="auto" w:fill="FFFFFF"/>
              </w:rPr>
              <w:t>change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lastRenderedPageBreak/>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lastRenderedPageBreak/>
              <w:t>Links in this step</w:t>
            </w:r>
          </w:p>
          <w:p w14:paraId="760D7E79" w14:textId="0221B851" w:rsidR="007C3765" w:rsidRPr="0082138B" w:rsidRDefault="009B3AF2"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9B3AF2"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9B3AF2"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lastRenderedPageBreak/>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9B3AF2"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9B3AF2"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05FD4C84"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FileSetAsideResponse \h </w:instrText>
            </w:r>
            <w:r w:rsidR="008E3A6C">
              <w:rPr>
                <w:shd w:val="clear" w:color="auto" w:fill="FFFFFF"/>
              </w:rPr>
            </w:r>
            <w:r w:rsidR="008E3A6C">
              <w:rPr>
                <w:shd w:val="clear" w:color="auto" w:fill="FFFFFF"/>
              </w:rPr>
              <w:fldChar w:fldCharType="separate"/>
            </w:r>
            <w:r w:rsidR="008E3A6C">
              <w:rPr>
                <w:noProof/>
                <w:shd w:val="clear" w:color="auto" w:fill="FFFFFF"/>
              </w:rPr>
              <w:t>28</w:t>
            </w:r>
            <w:r w:rsidR="008E3A6C">
              <w:rPr>
                <w:shd w:val="clear" w:color="auto" w:fill="FFFFFF"/>
              </w:rPr>
              <w:fldChar w:fldCharType="end"/>
            </w:r>
            <w:r w:rsidR="00FD69AD">
              <w:rPr>
                <w:shd w:val="clear" w:color="auto" w:fill="FFFFFF"/>
              </w:rPr>
              <w:t>.</w:t>
            </w:r>
          </w:p>
          <w:p w14:paraId="474A5535" w14:textId="44E20D7A" w:rsidR="00FD69AD" w:rsidRPr="00E34C8D" w:rsidRDefault="00FD69AD" w:rsidP="00FD69AD">
            <w:r>
              <w:t>Or</w:t>
            </w:r>
          </w:p>
          <w:p w14:paraId="38F1F19E" w14:textId="5F3A7426"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FileSetAsideAgreement \h </w:instrText>
            </w:r>
            <w:r w:rsidR="008E3A6C">
              <w:rPr>
                <w:shd w:val="clear" w:color="auto" w:fill="FFFFFF"/>
              </w:rPr>
            </w:r>
            <w:r w:rsidR="008E3A6C">
              <w:rPr>
                <w:shd w:val="clear" w:color="auto" w:fill="FFFFFF"/>
              </w:rPr>
              <w:fldChar w:fldCharType="separate"/>
            </w:r>
            <w:r w:rsidR="008E3A6C">
              <w:rPr>
                <w:noProof/>
                <w:shd w:val="clear" w:color="auto" w:fill="FFFFFF"/>
              </w:rPr>
              <w:t>32</w:t>
            </w:r>
            <w:r w:rsidR="008E3A6C">
              <w:rPr>
                <w:shd w:val="clear" w:color="auto" w:fill="FFFFFF"/>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lastRenderedPageBreak/>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51BDF5E0"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in('custody','all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The parent the children were living with 4 days a week went to jail, 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in('custody','child support','all divorce')</w:t>
            </w:r>
            <w:r w:rsidRPr="00E400A2">
              <w:rPr>
                <w:color w:val="0070C0"/>
              </w:rPr>
              <w:t xml:space="preserve"> %}</w:t>
            </w:r>
            <w:r w:rsidR="00A87B0A" w:rsidRPr="007D3767">
              <w:rPr>
                <w:b/>
                <w:bCs/>
              </w:rPr>
              <w:t xml:space="preserve">For </w:t>
            </w:r>
            <w:r w:rsidR="00A87B0A" w:rsidRPr="007D3767">
              <w:rPr>
                <w:b/>
                <w:bCs/>
              </w:rPr>
              <w:lastRenderedPageBreak/>
              <w:t>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in('custody','all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in('custody','child support','all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w:t>
            </w:r>
            <w:r w:rsidRPr="000039E0">
              <w:rPr>
                <w:color w:val="000000"/>
              </w:rPr>
              <w:lastRenderedPageBreak/>
              <w:t>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9B3AF2"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lastRenderedPageBreak/>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lastRenderedPageBreak/>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the other parent asked to set aside in the motion, you </w:t>
            </w:r>
            <w:r w:rsidRPr="003F5462">
              <w:lastRenderedPageBreak/>
              <w:t>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Motion to Set Aside Judgment or Order {% </w:t>
            </w:r>
            <w:r>
              <w:rPr>
                <w:shd w:val="clear" w:color="auto" w:fill="FFFFFF"/>
              </w:rPr>
              <w:lastRenderedPageBreak/>
              <w:t>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9B3AF2"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9B3AF2"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lastRenderedPageBreak/>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lastRenderedPageBreak/>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 </w:t>
            </w:r>
            <w:r>
              <w:rPr>
                <w:shd w:val="clear" w:color="auto" w:fill="FFFFFF"/>
              </w:rPr>
              <w:lastRenderedPageBreak/>
              <w:t>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lastRenderedPageBreak/>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w:t>
            </w:r>
            <w:r w:rsidRPr="003A2630">
              <w:rPr>
                <w:rFonts w:ascii="Arial" w:hAnsi="Arial" w:cs="Arial"/>
                <w:color w:val="000000"/>
              </w:rPr>
              <w:lastRenderedPageBreak/>
              <w:t>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w:t>
            </w:r>
            <w:r w:rsidRPr="009729E7">
              <w:lastRenderedPageBreak/>
              <w:t xml:space="preserve">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 xml:space="preserve">Alaska Free Legal </w:t>
              </w:r>
              <w:r w:rsidRPr="00C66E1B">
                <w:rPr>
                  <w:b/>
                </w:rPr>
                <w:lastRenderedPageBreak/>
                <w:t>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9B3AF2">
      <w:fldChar w:fldCharType="begin"/>
    </w:r>
    <w:r w:rsidR="009B3AF2">
      <w:instrText xml:space="preserve"> NUMPAGES  \* Arabic  \* MERGEFORMAT </w:instrText>
    </w:r>
    <w:r w:rsidR="009B3AF2">
      <w:fldChar w:fldCharType="separate"/>
    </w:r>
    <w:r>
      <w:rPr>
        <w:noProof/>
      </w:rPr>
      <w:t>26</w:t>
    </w:r>
    <w:r w:rsidR="009B3AF2">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5CC7"/>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E3A6C"/>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3AF2"/>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F0807"/>
    <w:rsid w:val="00AF0D8A"/>
    <w:rsid w:val="00AF3F5D"/>
    <w:rsid w:val="00AF6412"/>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39</Pages>
  <Words>10778</Words>
  <Characters>61436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31</cp:revision>
  <cp:lastPrinted>2022-11-10T19:34:00Z</cp:lastPrinted>
  <dcterms:created xsi:type="dcterms:W3CDTF">2023-09-01T00:19:00Z</dcterms:created>
  <dcterms:modified xsi:type="dcterms:W3CDTF">2023-09-07T19:42:00Z</dcterms:modified>
</cp:coreProperties>
</file>