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B223" w14:textId="1575C020" w:rsidR="0017242E" w:rsidRPr="00E66F4C" w:rsidRDefault="00DB2071" w:rsidP="00DB2071">
      <w:pPr>
        <w:spacing w:after="0" w:line="264" w:lineRule="auto"/>
        <w:rPr>
          <w:rFonts w:cstheme="minorHAnsi"/>
          <w:b/>
          <w:sz w:val="24"/>
          <w:szCs w:val="24"/>
          <w:u w:val="single"/>
        </w:rPr>
      </w:pPr>
      <w:proofErr w:type="spellStart"/>
      <w:r w:rsidRPr="00E66F4C">
        <w:rPr>
          <w:rFonts w:cstheme="minorHAnsi"/>
          <w:b/>
          <w:sz w:val="24"/>
          <w:szCs w:val="24"/>
          <w:u w:val="single"/>
        </w:rPr>
        <w:t>DBLoader</w:t>
      </w:r>
      <w:proofErr w:type="spellEnd"/>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w:t>
      </w:r>
      <w:proofErr w:type="spellStart"/>
      <w:r w:rsidRPr="00E66F4C">
        <w:rPr>
          <w:rFonts w:cstheme="minorHAnsi"/>
          <w:sz w:val="24"/>
          <w:szCs w:val="24"/>
        </w:rPr>
        <w:t>DBLoader</w:t>
      </w:r>
      <w:proofErr w:type="spellEnd"/>
      <w:r w:rsidRPr="00E66F4C">
        <w:rPr>
          <w:rFonts w:cstheme="minorHAnsi"/>
          <w:sz w:val="24"/>
          <w:szCs w:val="24"/>
        </w:rPr>
        <w:t xml:space="preserve"> imports can be located on a windows file system, Azure Blob Storage or Azure Data Lake Storage. The files can be uncompressed or </w:t>
      </w:r>
      <w:proofErr w:type="spellStart"/>
      <w:r w:rsidRPr="00E66F4C">
        <w:rPr>
          <w:rFonts w:cstheme="minorHAnsi"/>
          <w:sz w:val="24"/>
          <w:szCs w:val="24"/>
        </w:rPr>
        <w:t>gzip</w:t>
      </w:r>
      <w:proofErr w:type="spellEnd"/>
      <w:r w:rsidRPr="00E66F4C">
        <w:rPr>
          <w:rFonts w:cstheme="minorHAnsi"/>
          <w:sz w:val="24"/>
          <w:szCs w:val="24"/>
        </w:rPr>
        <w:t xml:space="preserve">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utility is not meant as a replacement for </w:t>
      </w:r>
      <w:proofErr w:type="spellStart"/>
      <w:r w:rsidRPr="00E66F4C">
        <w:rPr>
          <w:rFonts w:cstheme="minorHAnsi"/>
          <w:sz w:val="24"/>
          <w:szCs w:val="24"/>
        </w:rPr>
        <w:t>Polybase</w:t>
      </w:r>
      <w:proofErr w:type="spellEnd"/>
      <w:r w:rsidRPr="00E66F4C">
        <w:rPr>
          <w:rFonts w:cstheme="minorHAnsi"/>
          <w:sz w:val="24"/>
          <w:szCs w:val="24"/>
        </w:rPr>
        <w:t xml:space="preserve"> for loading data into Azure SQL DW. If optimized properly, </w:t>
      </w:r>
      <w:proofErr w:type="spellStart"/>
      <w:r w:rsidRPr="00E66F4C">
        <w:rPr>
          <w:rFonts w:cstheme="minorHAnsi"/>
          <w:sz w:val="24"/>
          <w:szCs w:val="24"/>
        </w:rPr>
        <w:t>Polybase</w:t>
      </w:r>
      <w:proofErr w:type="spellEnd"/>
      <w:r w:rsidRPr="00E66F4C">
        <w:rPr>
          <w:rFonts w:cstheme="minorHAnsi"/>
          <w:sz w:val="24"/>
          <w:szCs w:val="24"/>
        </w:rPr>
        <w:t xml:space="preserve"> will load files on </w:t>
      </w:r>
      <w:proofErr w:type="gramStart"/>
      <w:r w:rsidRPr="00E66F4C">
        <w:rPr>
          <w:rFonts w:cstheme="minorHAnsi"/>
          <w:sz w:val="24"/>
          <w:szCs w:val="24"/>
        </w:rPr>
        <w:t>all of</w:t>
      </w:r>
      <w:proofErr w:type="gramEnd"/>
      <w:r w:rsidRPr="00E66F4C">
        <w:rPr>
          <w:rFonts w:cstheme="minorHAnsi"/>
          <w:sz w:val="24"/>
          <w:szCs w:val="24"/>
        </w:rPr>
        <w:t xml:space="preserve"> the compute nodes in the DW cluster, while </w:t>
      </w:r>
      <w:proofErr w:type="spellStart"/>
      <w:r w:rsidRPr="00E66F4C">
        <w:rPr>
          <w:rFonts w:cstheme="minorHAnsi"/>
          <w:sz w:val="24"/>
          <w:szCs w:val="24"/>
        </w:rPr>
        <w:t>DBLoader</w:t>
      </w:r>
      <w:proofErr w:type="spellEnd"/>
      <w:r w:rsidRPr="00E66F4C">
        <w:rPr>
          <w:rFonts w:cstheme="minorHAnsi"/>
          <w:sz w:val="24"/>
          <w:szCs w:val="24"/>
        </w:rPr>
        <w:t xml:space="preserve">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&lt;path&gt;&lt;file name&gt; -S&lt;schema&gt; -T&lt;</w:t>
      </w:r>
      <w:proofErr w:type="spellStart"/>
      <w:r w:rsidRPr="00E66F4C">
        <w:rPr>
          <w:rFonts w:cstheme="minorHAnsi"/>
          <w:sz w:val="24"/>
          <w:szCs w:val="24"/>
        </w:rPr>
        <w:t>tablename</w:t>
      </w:r>
      <w:proofErr w:type="spellEnd"/>
      <w:r w:rsidRPr="00E66F4C">
        <w:rPr>
          <w:rFonts w:cstheme="minorHAnsi"/>
          <w:sz w:val="24"/>
          <w:szCs w:val="24"/>
        </w:rPr>
        <w:t>&gt;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asb</w:t>
            </w:r>
            <w:proofErr w:type="spellEnd"/>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adl</w:t>
            </w:r>
            <w:proofErr w:type="spellEnd"/>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w:t>
            </w:r>
            <w:proofErr w:type="spellStart"/>
            <w:r w:rsidRPr="00103259">
              <w:rPr>
                <w:rFonts w:cstheme="minorHAnsi"/>
                <w:b/>
                <w:sz w:val="24"/>
                <w:szCs w:val="24"/>
              </w:rPr>
              <w:t>tablename</w:t>
            </w:r>
            <w:proofErr w:type="spellEnd"/>
            <w:r w:rsidRPr="00103259">
              <w:rPr>
                <w:rFonts w:cstheme="minorHAnsi"/>
                <w:b/>
                <w:sz w:val="24"/>
                <w:szCs w:val="24"/>
              </w:rPr>
              <w:t>&gt;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proofErr w:type="spellStart"/>
            <w:r w:rsidRPr="00E66F4C">
              <w:rPr>
                <w:rFonts w:cstheme="minorHAnsi"/>
                <w:sz w:val="24"/>
                <w:szCs w:val="24"/>
              </w:rPr>
              <w:t>ConnectionString</w:t>
            </w:r>
            <w:proofErr w:type="spellEnd"/>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proofErr w:type="spellStart"/>
            <w:r w:rsidRPr="00E66F4C">
              <w:rPr>
                <w:rFonts w:cstheme="minorHAnsi"/>
                <w:sz w:val="24"/>
                <w:szCs w:val="24"/>
              </w:rPr>
              <w:t>StorageConnectionString</w:t>
            </w:r>
            <w:proofErr w:type="spellEnd"/>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proofErr w:type="spellStart"/>
            <w:r w:rsidRPr="00E66F4C">
              <w:rPr>
                <w:rFonts w:cstheme="minorHAnsi"/>
                <w:sz w:val="24"/>
                <w:szCs w:val="24"/>
              </w:rPr>
              <w:t>TenantID</w:t>
            </w:r>
            <w:proofErr w:type="spellEnd"/>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proofErr w:type="spellStart"/>
            <w:r>
              <w:rPr>
                <w:rFonts w:cstheme="minorHAnsi"/>
                <w:sz w:val="24"/>
                <w:szCs w:val="24"/>
              </w:rPr>
              <w:t>ApplicationID</w:t>
            </w:r>
            <w:proofErr w:type="spellEnd"/>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proofErr w:type="spellStart"/>
            <w:r>
              <w:rPr>
                <w:rFonts w:cstheme="minorHAnsi"/>
                <w:sz w:val="24"/>
                <w:szCs w:val="24"/>
              </w:rPr>
              <w:t>SecretKey</w:t>
            </w:r>
            <w:proofErr w:type="spellEnd"/>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proofErr w:type="spellStart"/>
            <w:r>
              <w:rPr>
                <w:rFonts w:cstheme="minorHAnsi"/>
                <w:sz w:val="24"/>
                <w:szCs w:val="24"/>
              </w:rPr>
              <w:t>ADLSAccount</w:t>
            </w:r>
            <w:proofErr w:type="spellEnd"/>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w:t>
            </w:r>
            <w:proofErr w:type="spellStart"/>
            <w:r>
              <w:rPr>
                <w:rFonts w:cstheme="minorHAnsi"/>
                <w:sz w:val="24"/>
                <w:szCs w:val="24"/>
              </w:rPr>
              <w:t>xxxx</w:t>
            </w:r>
            <w:proofErr w:type="spellEnd"/>
            <w:r>
              <w:rPr>
                <w:rFonts w:cstheme="minorHAnsi"/>
                <w:sz w:val="24"/>
                <w:szCs w:val="24"/>
              </w:rPr>
              <w:t>.</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proofErr w:type="spellStart"/>
            <w:r w:rsidRPr="00E66F4C">
              <w:rPr>
                <w:rFonts w:cstheme="minorHAnsi"/>
                <w:sz w:val="24"/>
                <w:szCs w:val="24"/>
              </w:rPr>
              <w:t>UseStringDelimiter</w:t>
            </w:r>
            <w:proofErr w:type="spellEnd"/>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proofErr w:type="spellStart"/>
            <w:r>
              <w:rPr>
                <w:rFonts w:cstheme="minorHAnsi"/>
                <w:sz w:val="24"/>
                <w:szCs w:val="24"/>
              </w:rPr>
              <w:t>S</w:t>
            </w:r>
            <w:r w:rsidRPr="00E66F4C">
              <w:rPr>
                <w:rFonts w:cstheme="minorHAnsi"/>
                <w:sz w:val="24"/>
                <w:szCs w:val="24"/>
              </w:rPr>
              <w:t>tringDelimiterDecimal</w:t>
            </w:r>
            <w:proofErr w:type="spellEnd"/>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proofErr w:type="spellStart"/>
            <w:r w:rsidRPr="00E66F4C">
              <w:rPr>
                <w:rFonts w:cstheme="minorHAnsi"/>
                <w:sz w:val="24"/>
                <w:szCs w:val="24"/>
              </w:rPr>
              <w:t>ColumnDelimiterDecimal</w:t>
            </w:r>
            <w:proofErr w:type="spellEnd"/>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CRSubstitutionDecimal</w:t>
            </w:r>
            <w:proofErr w:type="spellEnd"/>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LFSubstitutionDecimal</w:t>
            </w:r>
            <w:proofErr w:type="spellEnd"/>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proofErr w:type="spellStart"/>
            <w:r>
              <w:rPr>
                <w:rFonts w:cstheme="minorHAnsi"/>
                <w:sz w:val="24"/>
                <w:szCs w:val="24"/>
              </w:rPr>
              <w:t>NullColumnValue</w:t>
            </w:r>
            <w:proofErr w:type="spellEnd"/>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MaxBadColumnValues</w:t>
            </w:r>
            <w:proofErr w:type="spellEnd"/>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DiscardRowOnError</w:t>
            </w:r>
            <w:proofErr w:type="spellEnd"/>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SilentlyReplaceInvalidDates</w:t>
            </w:r>
            <w:proofErr w:type="spellEnd"/>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t>RowsPerTableWrite</w:t>
            </w:r>
            <w:proofErr w:type="spellEnd"/>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lastRenderedPageBreak/>
              <w:t>BufferSize</w:t>
            </w:r>
            <w:proofErr w:type="spellEnd"/>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w:t>
            </w:r>
            <w:proofErr w:type="spellStart"/>
            <w:r w:rsidR="00040815">
              <w:rPr>
                <w:rFonts w:cstheme="minorHAnsi"/>
                <w:sz w:val="24"/>
                <w:szCs w:val="24"/>
              </w:rPr>
              <w:t>threadpool</w:t>
            </w:r>
            <w:proofErr w:type="spellEnd"/>
            <w:r w:rsidR="00040815">
              <w:rPr>
                <w:rFonts w:cstheme="minorHAnsi"/>
                <w:sz w:val="24"/>
                <w:szCs w:val="24"/>
              </w:rPr>
              <w:t xml:space="preserve">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c:\temp\myfile.txt -</w:t>
      </w:r>
      <w:proofErr w:type="spellStart"/>
      <w:r w:rsidRPr="002843EB">
        <w:rPr>
          <w:rFonts w:cstheme="minorHAnsi"/>
          <w:b/>
          <w:sz w:val="24"/>
          <w:szCs w:val="24"/>
        </w:rPr>
        <w:t>Tmytable</w:t>
      </w:r>
      <w:proofErr w:type="spellEnd"/>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 xml:space="preserve">Load myfile.txt located in the local temp directory into </w:t>
      </w:r>
      <w:proofErr w:type="spellStart"/>
      <w:r>
        <w:rPr>
          <w:rFonts w:cstheme="minorHAnsi"/>
          <w:sz w:val="24"/>
          <w:szCs w:val="24"/>
        </w:rPr>
        <w:t>mytable</w:t>
      </w:r>
      <w:proofErr w:type="spellEnd"/>
      <w:r>
        <w:rPr>
          <w:rFonts w:cstheme="minorHAnsi"/>
          <w:sz w:val="24"/>
          <w:szCs w:val="24"/>
        </w:rPr>
        <w:t xml:space="preserve"> on the SQL Server configured in the </w:t>
      </w:r>
      <w:proofErr w:type="spellStart"/>
      <w:r>
        <w:rPr>
          <w:rFonts w:cstheme="minorHAnsi"/>
          <w:sz w:val="24"/>
          <w:szCs w:val="24"/>
        </w:rPr>
        <w:t>app.config</w:t>
      </w:r>
      <w:proofErr w:type="spellEnd"/>
      <w:r>
        <w:rPr>
          <w:rFonts w:cstheme="minorHAnsi"/>
          <w:sz w:val="24"/>
          <w:szCs w:val="24"/>
        </w:rPr>
        <w:t xml:space="preserve">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asb</w:t>
      </w:r>
      <w:proofErr w:type="spellEnd"/>
      <w:r w:rsidRPr="002843EB">
        <w:rPr>
          <w:rFonts w:cstheme="minorHAnsi"/>
          <w:b/>
          <w:sz w:val="24"/>
          <w:szCs w:val="24"/>
        </w:rPr>
        <w:t>:/&lt;container&gt;/*.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blob storage container into </w:t>
      </w:r>
      <w:proofErr w:type="spellStart"/>
      <w:r>
        <w:rPr>
          <w:rFonts w:cstheme="minorHAnsi"/>
          <w:sz w:val="24"/>
          <w:szCs w:val="24"/>
        </w:rPr>
        <w:t>mytable</w:t>
      </w:r>
      <w:proofErr w:type="spellEnd"/>
      <w:r>
        <w:rPr>
          <w:rFonts w:cstheme="minorHAnsi"/>
          <w:sz w:val="24"/>
          <w:szCs w:val="24"/>
        </w:rPr>
        <w:t xml:space="preserv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adl</w:t>
      </w:r>
      <w:proofErr w:type="spellEnd"/>
      <w:r w:rsidRPr="002843EB">
        <w:rPr>
          <w:rFonts w:cstheme="minorHAnsi"/>
          <w:b/>
          <w:sz w:val="24"/>
          <w:szCs w:val="24"/>
        </w:rPr>
        <w:t>:/&lt;folder path&gt;/*.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Azure Data Lake folder given into </w:t>
      </w:r>
      <w:proofErr w:type="spellStart"/>
      <w:r>
        <w:rPr>
          <w:rFonts w:cstheme="minorHAnsi"/>
          <w:sz w:val="24"/>
          <w:szCs w:val="24"/>
        </w:rPr>
        <w:t>mytable</w:t>
      </w:r>
      <w:proofErr w:type="spellEnd"/>
      <w:r>
        <w:rPr>
          <w:rFonts w:cstheme="minorHAnsi"/>
          <w:sz w:val="24"/>
          <w:szCs w:val="24"/>
        </w:rPr>
        <w:t xml:space="preserv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 xml:space="preserve">Open the Azure Portal (portal.azure.com) and open your Storage Account. Select Access Keys to display the following. Copy one of the connection strings (it does not matter which) and past the whole value into the </w:t>
      </w:r>
      <w:proofErr w:type="spellStart"/>
      <w:r>
        <w:rPr>
          <w:rFonts w:cstheme="minorHAnsi"/>
          <w:sz w:val="24"/>
          <w:szCs w:val="24"/>
        </w:rPr>
        <w:t>StorageConnectionString</w:t>
      </w:r>
      <w:proofErr w:type="spellEnd"/>
      <w:r>
        <w:rPr>
          <w:rFonts w:cstheme="minorHAnsi"/>
          <w:sz w:val="24"/>
          <w:szCs w:val="24"/>
        </w:rPr>
        <w:t xml:space="preserve">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w:t>
      </w:r>
      <w:proofErr w:type="spellStart"/>
      <w:r>
        <w:rPr>
          <w:rFonts w:cstheme="minorHAnsi"/>
          <w:sz w:val="24"/>
          <w:szCs w:val="24"/>
        </w:rPr>
        <w:t>AppID</w:t>
      </w:r>
      <w:proofErr w:type="spellEnd"/>
      <w:r>
        <w:rPr>
          <w:rFonts w:cstheme="minorHAnsi"/>
          <w:sz w:val="24"/>
          <w:szCs w:val="24"/>
        </w:rPr>
        <w:t xml:space="preserve">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w:t>
      </w:r>
      <w:proofErr w:type="spellStart"/>
      <w:r w:rsidR="00D477EE">
        <w:rPr>
          <w:rFonts w:cstheme="minorHAnsi"/>
          <w:sz w:val="24"/>
          <w:szCs w:val="24"/>
        </w:rPr>
        <w:t>TenantID</w:t>
      </w:r>
      <w:proofErr w:type="spellEnd"/>
      <w:r w:rsidR="00D477EE">
        <w:rPr>
          <w:rFonts w:cstheme="minorHAnsi"/>
          <w:sz w:val="24"/>
          <w:szCs w:val="24"/>
        </w:rPr>
        <w:t>.</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 xml:space="preserve">Copy the Application ID and paste it into the value for </w:t>
      </w:r>
      <w:proofErr w:type="spellStart"/>
      <w:r>
        <w:rPr>
          <w:rFonts w:cstheme="minorHAnsi"/>
          <w:sz w:val="24"/>
          <w:szCs w:val="24"/>
        </w:rPr>
        <w:t>ApplicationID</w:t>
      </w:r>
      <w:proofErr w:type="spellEnd"/>
      <w:r>
        <w:rPr>
          <w:rFonts w:cstheme="minorHAnsi"/>
          <w:sz w:val="24"/>
          <w:szCs w:val="24"/>
        </w:rPr>
        <w:t>.</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 xml:space="preserve">Copy the key value before closing the blade. Paste this into the value for </w:t>
      </w:r>
      <w:proofErr w:type="spellStart"/>
      <w:r>
        <w:rPr>
          <w:rFonts w:cstheme="minorHAnsi"/>
          <w:sz w:val="24"/>
          <w:szCs w:val="24"/>
        </w:rPr>
        <w:t>SecretKey</w:t>
      </w:r>
      <w:proofErr w:type="spellEnd"/>
      <w:r>
        <w:rPr>
          <w:rFonts w:cstheme="minorHAnsi"/>
          <w:sz w:val="24"/>
          <w:szCs w:val="24"/>
        </w:rPr>
        <w:t>.</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w:t>
      </w:r>
      <w:proofErr w:type="spellStart"/>
      <w:r w:rsidR="00C342F2">
        <w:rPr>
          <w:rFonts w:cstheme="minorHAnsi"/>
          <w:sz w:val="24"/>
          <w:szCs w:val="24"/>
        </w:rPr>
        <w:t>ADLSAccount</w:t>
      </w:r>
      <w:proofErr w:type="spellEnd"/>
      <w:r w:rsidR="00C342F2">
        <w:rPr>
          <w:rFonts w:cstheme="minorHAnsi"/>
          <w:sz w:val="24"/>
          <w:szCs w:val="24"/>
        </w:rPr>
        <w:t xml:space="preserve">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w:t>
      </w:r>
      <w:proofErr w:type="spellStart"/>
      <w:r>
        <w:rPr>
          <w:rFonts w:cstheme="minorHAnsi"/>
          <w:sz w:val="24"/>
          <w:szCs w:val="24"/>
        </w:rPr>
        <w:t>app.config</w:t>
      </w:r>
      <w:proofErr w:type="spellEnd"/>
      <w:r>
        <w:rPr>
          <w:rFonts w:cstheme="minorHAnsi"/>
          <w:sz w:val="24"/>
          <w:szCs w:val="24"/>
        </w:rPr>
        <w:t xml:space="preserve"> and </w:t>
      </w:r>
      <w:r w:rsidR="00C342F2">
        <w:rPr>
          <w:rFonts w:cstheme="minorHAnsi"/>
          <w:sz w:val="24"/>
          <w:szCs w:val="24"/>
        </w:rPr>
        <w:t>you can now use the adl:// moniker.</w:t>
      </w:r>
    </w:p>
    <w:p w14:paraId="391F559B" w14:textId="425188FF" w:rsidR="001E409D" w:rsidRPr="00D477EE" w:rsidRDefault="001E409D" w:rsidP="00DB2071">
      <w:pPr>
        <w:spacing w:after="0" w:line="288" w:lineRule="auto"/>
        <w:rPr>
          <w:rFonts w:cstheme="minorHAnsi"/>
          <w:sz w:val="24"/>
          <w:szCs w:val="24"/>
        </w:rPr>
      </w:pPr>
    </w:p>
    <w:sectPr w:rsidR="001E409D" w:rsidRPr="00D477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299E4" w14:textId="77777777" w:rsidR="001271E2" w:rsidRDefault="001271E2" w:rsidP="0017242E">
      <w:pPr>
        <w:spacing w:after="0" w:line="240" w:lineRule="auto"/>
      </w:pPr>
      <w:r>
        <w:separator/>
      </w:r>
    </w:p>
  </w:endnote>
  <w:endnote w:type="continuationSeparator" w:id="0">
    <w:p w14:paraId="036FD311" w14:textId="77777777" w:rsidR="001271E2" w:rsidRDefault="001271E2"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DD3" w14:textId="7EAD4449" w:rsidR="00040815" w:rsidRDefault="00467B27">
    <w:pPr>
      <w:pStyle w:val="Footer"/>
    </w:pPr>
    <w:bookmarkStart w:id="0" w:name="_GoBack"/>
    <w:bookmarkEnd w:id="0"/>
    <w:r w:rsidRPr="00467B27">
      <w:tab/>
    </w:r>
    <w:r w:rsidRPr="00467B27">
      <w:tab/>
    </w:r>
    <w:r w:rsidRPr="00467B27">
      <w:tab/>
      <w:t>/***This Artifact belongs to the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2FA5" w14:textId="77777777" w:rsidR="001271E2" w:rsidRDefault="001271E2" w:rsidP="0017242E">
      <w:pPr>
        <w:spacing w:after="0" w:line="240" w:lineRule="auto"/>
      </w:pPr>
      <w:r>
        <w:separator/>
      </w:r>
    </w:p>
  </w:footnote>
  <w:footnote w:type="continuationSeparator" w:id="0">
    <w:p w14:paraId="3D1F8639" w14:textId="77777777" w:rsidR="001271E2" w:rsidRDefault="001271E2"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271E2"/>
    <w:rsid w:val="0017242E"/>
    <w:rsid w:val="001E409D"/>
    <w:rsid w:val="00251803"/>
    <w:rsid w:val="002843EB"/>
    <w:rsid w:val="00294CA6"/>
    <w:rsid w:val="0040140C"/>
    <w:rsid w:val="00467B27"/>
    <w:rsid w:val="00494248"/>
    <w:rsid w:val="00494362"/>
    <w:rsid w:val="004A619D"/>
    <w:rsid w:val="005041AA"/>
    <w:rsid w:val="006577B2"/>
    <w:rsid w:val="00724880"/>
    <w:rsid w:val="00736140"/>
    <w:rsid w:val="00772DAF"/>
    <w:rsid w:val="007E099C"/>
    <w:rsid w:val="00845649"/>
    <w:rsid w:val="00922144"/>
    <w:rsid w:val="00C342F2"/>
    <w:rsid w:val="00C35B84"/>
    <w:rsid w:val="00C5449C"/>
    <w:rsid w:val="00CB7B58"/>
    <w:rsid w:val="00D477EE"/>
    <w:rsid w:val="00D96D5D"/>
    <w:rsid w:val="00DA4852"/>
    <w:rsid w:val="00DA5FDD"/>
    <w:rsid w:val="00DB2071"/>
    <w:rsid w:val="00E66F4C"/>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15</cp:revision>
  <dcterms:created xsi:type="dcterms:W3CDTF">2018-01-19T15:49:00Z</dcterms:created>
  <dcterms:modified xsi:type="dcterms:W3CDTF">2020-01-17T17:36:00Z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