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DB223" w14:textId="55368F55" w:rsidR="0017242E" w:rsidRPr="00E66F4C" w:rsidRDefault="00632395" w:rsidP="00DB2071">
      <w:pPr>
        <w:spacing w:after="0" w:line="264" w:lineRule="auto"/>
        <w:rPr>
          <w:rFonts w:cstheme="minorHAnsi"/>
          <w:b/>
          <w:sz w:val="24"/>
          <w:szCs w:val="24"/>
          <w:u w:val="single"/>
        </w:rPr>
      </w:pPr>
      <w:r>
        <w:rPr>
          <w:rFonts w:cstheme="minorHAnsi"/>
          <w:b/>
          <w:sz w:val="24"/>
          <w:szCs w:val="24"/>
          <w:u w:val="single"/>
        </w:rPr>
        <w:t>Netezza DDL</w:t>
      </w:r>
      <w:r w:rsidR="00922144">
        <w:rPr>
          <w:rFonts w:cstheme="minorHAnsi"/>
          <w:b/>
          <w:sz w:val="24"/>
          <w:szCs w:val="24"/>
          <w:u w:val="single"/>
        </w:rPr>
        <w:t xml:space="preserve"> </w:t>
      </w:r>
      <w:r>
        <w:rPr>
          <w:rFonts w:cstheme="minorHAnsi"/>
          <w:b/>
          <w:sz w:val="24"/>
          <w:szCs w:val="24"/>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48FDEF4B" w14:textId="22B9A3EE" w:rsidR="00785AE7"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tool to 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 xml:space="preserve">SQL equivalent. The </w:t>
      </w:r>
      <w:r w:rsidR="00866D5C">
        <w:rPr>
          <w:rFonts w:cstheme="minorHAnsi"/>
          <w:sz w:val="24"/>
          <w:szCs w:val="24"/>
        </w:rPr>
        <w:t>highlight</w:t>
      </w:r>
      <w:r w:rsidR="00785AE7">
        <w:rPr>
          <w:rFonts w:cstheme="minorHAnsi"/>
          <w:sz w:val="24"/>
          <w:szCs w:val="24"/>
        </w:rPr>
        <w:t xml:space="preserve"> of this utility is that it can convert Netezza MPP DDL to SQL MPP or SMP equivalent, which means it supports the conversion to</w:t>
      </w:r>
      <w:r>
        <w:rPr>
          <w:rFonts w:cstheme="minorHAnsi"/>
          <w:sz w:val="24"/>
          <w:szCs w:val="24"/>
        </w:rPr>
        <w:t xml:space="preserve"> </w:t>
      </w:r>
      <w:r w:rsidR="001208E4">
        <w:rPr>
          <w:rFonts w:cstheme="minorHAnsi"/>
          <w:sz w:val="24"/>
          <w:szCs w:val="24"/>
        </w:rPr>
        <w:t xml:space="preserve">Azure </w:t>
      </w:r>
      <w:r>
        <w:rPr>
          <w:rFonts w:cstheme="minorHAnsi"/>
          <w:sz w:val="24"/>
          <w:szCs w:val="24"/>
        </w:rPr>
        <w:t>SQL DW, Azure SQL DB</w:t>
      </w:r>
      <w:r w:rsidR="001208E4">
        <w:rPr>
          <w:rFonts w:cstheme="minorHAnsi"/>
          <w:sz w:val="24"/>
          <w:szCs w:val="24"/>
        </w:rPr>
        <w:t>, Azure SQL MI</w:t>
      </w:r>
      <w:r>
        <w:rPr>
          <w:rFonts w:cstheme="minorHAnsi"/>
          <w:sz w:val="24"/>
          <w:szCs w:val="24"/>
        </w:rPr>
        <w:t xml:space="preserve"> and SQL Server on-premises</w:t>
      </w:r>
      <w:r w:rsidR="00037783">
        <w:rPr>
          <w:rFonts w:cstheme="minorHAnsi"/>
          <w:sz w:val="24"/>
          <w:szCs w:val="24"/>
        </w:rPr>
        <w:t xml:space="preserve">. </w:t>
      </w:r>
    </w:p>
    <w:p w14:paraId="1E42345C" w14:textId="77777777" w:rsidR="00785AE7" w:rsidRDefault="00785AE7" w:rsidP="00DB2071">
      <w:pPr>
        <w:spacing w:after="0" w:line="264" w:lineRule="auto"/>
        <w:rPr>
          <w:rFonts w:cstheme="minorHAnsi"/>
          <w:sz w:val="24"/>
          <w:szCs w:val="24"/>
        </w:rPr>
      </w:pPr>
    </w:p>
    <w:p w14:paraId="22F868CC" w14:textId="0CFD8524" w:rsidR="00632395" w:rsidRDefault="00037783" w:rsidP="00DB2071">
      <w:pPr>
        <w:spacing w:after="0" w:line="264" w:lineRule="auto"/>
        <w:rPr>
          <w:rFonts w:cstheme="minorHAnsi"/>
          <w:sz w:val="24"/>
          <w:szCs w:val="24"/>
        </w:rPr>
      </w:pPr>
      <w:r>
        <w:rPr>
          <w:rFonts w:cstheme="minorHAnsi"/>
          <w:sz w:val="24"/>
          <w:szCs w:val="24"/>
        </w:rPr>
        <w:t xml:space="preserve">This 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 defaults and constraints. Following features are currently supported</w:t>
      </w:r>
      <w:r w:rsidR="001208E4">
        <w:rPr>
          <w:rFonts w:cstheme="minorHAnsi"/>
          <w:sz w:val="24"/>
          <w:szCs w:val="24"/>
        </w:rPr>
        <w:t xml:space="preserve"> by the utility:</w:t>
      </w:r>
    </w:p>
    <w:p w14:paraId="1F2F105B" w14:textId="77777777" w:rsidR="00DE72A0" w:rsidRPr="00A01610" w:rsidRDefault="00DE72A0" w:rsidP="00DE72A0">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Azure Conversion</w:t>
      </w:r>
    </w:p>
    <w:p w14:paraId="459E058D" w14:textId="0E67292D" w:rsidR="00DE72A0" w:rsidRDefault="001208E4" w:rsidP="00DE72A0">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DE72A0">
        <w:rPr>
          <w:rFonts w:cstheme="minorHAnsi"/>
          <w:sz w:val="24"/>
          <w:szCs w:val="24"/>
        </w:rPr>
        <w:t>SQL DW</w:t>
      </w:r>
    </w:p>
    <w:p w14:paraId="0911923C" w14:textId="24BCF134" w:rsidR="00DE72A0"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F7E26F0" w14:textId="22DC8C02" w:rsidR="0084040B"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 xml:space="preserve">External Table </w:t>
      </w:r>
      <w:r w:rsidR="001208E4">
        <w:rPr>
          <w:rFonts w:cstheme="minorHAnsi"/>
          <w:sz w:val="24"/>
          <w:szCs w:val="24"/>
        </w:rPr>
        <w:t xml:space="preserve">Creation &amp; </w:t>
      </w:r>
      <w:r>
        <w:rPr>
          <w:rFonts w:cstheme="minorHAnsi"/>
          <w:sz w:val="24"/>
          <w:szCs w:val="24"/>
        </w:rPr>
        <w:t>Conversion</w:t>
      </w:r>
    </w:p>
    <w:p w14:paraId="7B9A0E69" w14:textId="56028DEC" w:rsidR="0084040B" w:rsidRDefault="001208E4" w:rsidP="0084040B">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84040B">
        <w:rPr>
          <w:rFonts w:cstheme="minorHAnsi"/>
          <w:sz w:val="24"/>
          <w:szCs w:val="24"/>
        </w:rPr>
        <w:t>SQL DB</w:t>
      </w:r>
      <w:r>
        <w:rPr>
          <w:rFonts w:cstheme="minorHAnsi"/>
          <w:sz w:val="24"/>
          <w:szCs w:val="24"/>
        </w:rPr>
        <w:t>, Azure SQL MI</w:t>
      </w:r>
    </w:p>
    <w:p w14:paraId="7DFB898C" w14:textId="445566B4"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1B51E0B5" w14:textId="0F438C79"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2D70BFF8" w14:textId="4E62FD5F" w:rsidR="0084040B" w:rsidRPr="00A01610" w:rsidRDefault="0084040B" w:rsidP="0084040B">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On Premises</w:t>
      </w:r>
    </w:p>
    <w:p w14:paraId="469EF1DD" w14:textId="75CDC9EC" w:rsidR="0084040B" w:rsidRDefault="0084040B" w:rsidP="0084040B">
      <w:pPr>
        <w:pStyle w:val="ListParagraph"/>
        <w:numPr>
          <w:ilvl w:val="1"/>
          <w:numId w:val="2"/>
        </w:numPr>
        <w:spacing w:after="0" w:line="264" w:lineRule="auto"/>
        <w:rPr>
          <w:rFonts w:cstheme="minorHAnsi"/>
          <w:sz w:val="24"/>
          <w:szCs w:val="24"/>
        </w:rPr>
      </w:pPr>
      <w:r>
        <w:rPr>
          <w:rFonts w:cstheme="minorHAnsi"/>
          <w:sz w:val="24"/>
          <w:szCs w:val="24"/>
        </w:rPr>
        <w:t>SQL Server</w:t>
      </w:r>
    </w:p>
    <w:p w14:paraId="19F20719"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506FD41"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72C84C4E" w14:textId="77777777" w:rsidR="0084040B" w:rsidRDefault="0084040B" w:rsidP="0084040B">
      <w:pPr>
        <w:pStyle w:val="ListParagraph"/>
        <w:spacing w:after="0" w:line="264" w:lineRule="auto"/>
        <w:ind w:left="2160"/>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 xml:space="preserve">DW is configured for </w:t>
      </w:r>
      <w:proofErr w:type="spellStart"/>
      <w:r w:rsidR="001208E4" w:rsidRPr="001208E4">
        <w:rPr>
          <w:rFonts w:cstheme="minorHAnsi"/>
          <w:sz w:val="24"/>
          <w:szCs w:val="24"/>
        </w:rPr>
        <w:t>Polybase</w:t>
      </w:r>
      <w:proofErr w:type="spellEnd"/>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Data Source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File Format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4C657BEA" w14:textId="399287D1" w:rsidR="001208E4" w:rsidRDefault="001208E4" w:rsidP="0084040B">
      <w:pPr>
        <w:spacing w:after="0" w:line="264" w:lineRule="auto"/>
        <w:rPr>
          <w:rFonts w:cstheme="minorHAnsi"/>
          <w:sz w:val="24"/>
          <w:szCs w:val="24"/>
        </w:rPr>
      </w:pP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28F0F003"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w:t>
      </w:r>
      <w:proofErr w:type="gramStart"/>
      <w:r>
        <w:rPr>
          <w:rFonts w:cstheme="minorHAnsi"/>
          <w:sz w:val="24"/>
          <w:szCs w:val="24"/>
        </w:rPr>
        <w:t>a</w:t>
      </w:r>
      <w:proofErr w:type="gramEnd"/>
      <w:r>
        <w:rPr>
          <w:rFonts w:cstheme="minorHAnsi"/>
          <w:sz w:val="24"/>
          <w:szCs w:val="24"/>
        </w:rPr>
        <w:t xml:space="preserve"> XML config file which stores all configuration related to conversion. One must edit this file to update desired conversion configurations.</w:t>
      </w:r>
    </w:p>
    <w:p w14:paraId="2E8B9176" w14:textId="3B58381B" w:rsidR="000E61CE" w:rsidRDefault="000E61CE" w:rsidP="000E61CE">
      <w:pPr>
        <w:pStyle w:val="ListParagraph"/>
        <w:spacing w:after="0" w:line="264" w:lineRule="auto"/>
        <w:rPr>
          <w:rFonts w:cstheme="minorHAnsi"/>
          <w:sz w:val="24"/>
          <w:szCs w:val="24"/>
        </w:rPr>
      </w:pPr>
      <w:r>
        <w:rPr>
          <w:noProof/>
        </w:rPr>
        <w:lastRenderedPageBreak/>
        <w:drawing>
          <wp:inline distT="0" distB="0" distL="0" distR="0" wp14:anchorId="426D2E4A" wp14:editId="1844F694">
            <wp:extent cx="59436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8700"/>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5765D86A"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sourcefilepath</w:t>
      </w:r>
      <w:proofErr w:type="spellEnd"/>
      <w:r>
        <w:rPr>
          <w:rFonts w:cstheme="minorHAnsi"/>
          <w:sz w:val="24"/>
          <w:szCs w:val="24"/>
        </w:rPr>
        <w:t xml:space="preserve"> – </w:t>
      </w:r>
      <w:r w:rsidR="00382B7B">
        <w:rPr>
          <w:rFonts w:cstheme="minorHAnsi"/>
          <w:sz w:val="24"/>
          <w:szCs w:val="24"/>
        </w:rPr>
        <w:t>Update</w:t>
      </w:r>
      <w:r>
        <w:rPr>
          <w:rFonts w:cstheme="minorHAnsi"/>
          <w:sz w:val="24"/>
          <w:szCs w:val="24"/>
        </w:rPr>
        <w:t xml:space="preserve"> the file path of Netezza DDL source file</w:t>
      </w:r>
    </w:p>
    <w:p w14:paraId="5B7EF98A" w14:textId="71DF9870" w:rsidR="00EB18F7"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sourcefilename</w:t>
      </w:r>
      <w:proofErr w:type="spellEnd"/>
      <w:r>
        <w:rPr>
          <w:rFonts w:cstheme="minorHAnsi"/>
          <w:sz w:val="24"/>
          <w:szCs w:val="24"/>
        </w:rPr>
        <w:t xml:space="preserve"> –</w:t>
      </w:r>
      <w:r w:rsidR="00382B7B">
        <w:rPr>
          <w:rFonts w:cstheme="minorHAnsi"/>
          <w:sz w:val="24"/>
          <w:szCs w:val="24"/>
        </w:rPr>
        <w:t xml:space="preserve"> Update</w:t>
      </w:r>
      <w:r>
        <w:rPr>
          <w:rFonts w:cstheme="minorHAnsi"/>
          <w:sz w:val="24"/>
          <w:szCs w:val="24"/>
        </w:rPr>
        <w:t xml:space="preserve"> the name of Netezza DDL source file</w:t>
      </w:r>
    </w:p>
    <w:p w14:paraId="2195BB1A" w14:textId="7B92A1CF"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Update the file path</w:t>
      </w:r>
      <w:r w:rsidR="00554D14">
        <w:rPr>
          <w:rFonts w:cstheme="minorHAnsi"/>
          <w:sz w:val="24"/>
          <w:szCs w:val="24"/>
        </w:rPr>
        <w:t xml:space="preserve"> for converted DDL</w:t>
      </w:r>
    </w:p>
    <w:p w14:paraId="43567969" w14:textId="1967E07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Update the name of converted DDL file “</w:t>
      </w:r>
      <w:proofErr w:type="spellStart"/>
      <w:r>
        <w:rPr>
          <w:rFonts w:cstheme="minorHAnsi"/>
          <w:sz w:val="24"/>
          <w:szCs w:val="24"/>
        </w:rPr>
        <w:t>filename.sql</w:t>
      </w:r>
      <w:proofErr w:type="spellEnd"/>
      <w:r>
        <w:rPr>
          <w:rFonts w:cstheme="minorHAnsi"/>
          <w:sz w:val="24"/>
          <w:szCs w:val="24"/>
        </w:rPr>
        <w:t>”</w:t>
      </w:r>
    </w:p>
    <w:p w14:paraId="411A8B45" w14:textId="4428040A"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Update the value to 1 if conversion target is Azure SQL DW</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008D3DDB" w14:textId="622E6522"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isTargetSQLOnPremise</w:t>
      </w:r>
      <w:proofErr w:type="spellEnd"/>
      <w:r>
        <w:rPr>
          <w:rFonts w:cstheme="minorHAnsi"/>
          <w:sz w:val="24"/>
          <w:szCs w:val="24"/>
        </w:rPr>
        <w:t xml:space="preserve"> – Update the value to 1 if conversion target is Azure DB, SQL MI or SQL Server on-premises </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p>
    <w:p w14:paraId="597EA752" w14:textId="58A83E10"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r>
        <w:rPr>
          <w:rFonts w:cstheme="minorHAnsi"/>
          <w:sz w:val="24"/>
          <w:szCs w:val="24"/>
        </w:rPr>
        <w:t xml:space="preserve">  </w:t>
      </w:r>
    </w:p>
    <w:p w14:paraId="4E96904A" w14:textId="704F5AF1"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NetezzaConverter.exe</w:t>
      </w:r>
      <w:r>
        <w:rPr>
          <w:rFonts w:cstheme="minorHAnsi"/>
          <w:sz w:val="24"/>
          <w:szCs w:val="24"/>
        </w:rPr>
        <w:t xml:space="preserve"> – This is an executable file and should be invoked from a command prompt. Once the XML configuration is updated, we </w:t>
      </w:r>
      <w:r w:rsidR="00F65AD9">
        <w:rPr>
          <w:rFonts w:cstheme="minorHAnsi"/>
          <w:sz w:val="24"/>
          <w:szCs w:val="24"/>
        </w:rPr>
        <w:t>must</w:t>
      </w:r>
      <w:r>
        <w:rPr>
          <w:rFonts w:cstheme="minorHAnsi"/>
          <w:sz w:val="24"/>
          <w:szCs w:val="24"/>
        </w:rPr>
        <w:t xml:space="preserve"> simply execute this exe from command prompt</w:t>
      </w:r>
      <w:r w:rsidR="00F65AD9">
        <w:rPr>
          <w:rFonts w:cstheme="minorHAnsi"/>
          <w:sz w:val="24"/>
          <w:szCs w:val="24"/>
        </w:rPr>
        <w:t xml:space="preserve"> and the converted DDL is generated in the target folder.</w:t>
      </w:r>
    </w:p>
    <w:p w14:paraId="612A4468" w14:textId="08AFC845" w:rsidR="003A3920" w:rsidRDefault="003A3920" w:rsidP="0084040B">
      <w:pPr>
        <w:spacing w:after="0" w:line="264" w:lineRule="auto"/>
        <w:rPr>
          <w:rFonts w:cstheme="minorHAnsi"/>
          <w:sz w:val="24"/>
          <w:szCs w:val="24"/>
        </w:rPr>
      </w:pPr>
    </w:p>
    <w:p w14:paraId="08A1E76C" w14:textId="1C03D813"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637DD4C" w14:textId="283D58D8" w:rsidR="00D477EE" w:rsidRDefault="00D477EE" w:rsidP="00D477EE">
      <w:pPr>
        <w:spacing w:after="0" w:line="288" w:lineRule="auto"/>
        <w:rPr>
          <w:rFonts w:cstheme="minorHAnsi"/>
          <w:sz w:val="24"/>
          <w:szCs w:val="24"/>
        </w:rPr>
      </w:pPr>
    </w:p>
    <w:p w14:paraId="54861A5A" w14:textId="6A2A83BA"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having 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D477EE">
      <w:pPr>
        <w:spacing w:after="0" w:line="288" w:lineRule="auto"/>
        <w:rPr>
          <w:rFonts w:cstheme="minorHAnsi"/>
          <w:sz w:val="24"/>
          <w:szCs w:val="24"/>
        </w:rPr>
      </w:pPr>
    </w:p>
    <w:p w14:paraId="04BCA10A" w14:textId="2CF993BD" w:rsidR="00100A0A" w:rsidRDefault="00737528" w:rsidP="00100A0A">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we are converting a Netezza DDL to </w:t>
      </w:r>
      <w:r w:rsidR="00CD65EF">
        <w:rPr>
          <w:rFonts w:cstheme="minorHAnsi"/>
          <w:sz w:val="24"/>
          <w:szCs w:val="24"/>
        </w:rPr>
        <w:t>SQL on-premises with default and constraints conversion</w:t>
      </w:r>
    </w:p>
    <w:p w14:paraId="3DF6A245" w14:textId="7DCA8DE6" w:rsidR="00CD65EF" w:rsidRDefault="00CD65EF" w:rsidP="00CD65EF">
      <w:pPr>
        <w:pStyle w:val="ListParagraph"/>
        <w:spacing w:after="0" w:line="288" w:lineRule="auto"/>
        <w:ind w:left="360"/>
        <w:rPr>
          <w:rFonts w:cstheme="minorHAnsi"/>
          <w:sz w:val="24"/>
          <w:szCs w:val="24"/>
        </w:rPr>
      </w:pPr>
      <w:r>
        <w:rPr>
          <w:noProof/>
        </w:rPr>
        <w:lastRenderedPageBreak/>
        <w:drawing>
          <wp:inline distT="0" distB="0" distL="0" distR="0" wp14:anchorId="1EC288C8" wp14:editId="51E31C0B">
            <wp:extent cx="5943600"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0765"/>
                    </a:xfrm>
                    <a:prstGeom prst="rect">
                      <a:avLst/>
                    </a:prstGeom>
                  </pic:spPr>
                </pic:pic>
              </a:graphicData>
            </a:graphic>
          </wp:inline>
        </w:drawing>
      </w:r>
    </w:p>
    <w:p w14:paraId="5EB2AC1C" w14:textId="49493F39" w:rsidR="00D3190B" w:rsidRDefault="00D3190B" w:rsidP="00CD65EF">
      <w:pPr>
        <w:pStyle w:val="ListParagraph"/>
        <w:spacing w:after="0" w:line="288" w:lineRule="auto"/>
        <w:ind w:left="360"/>
        <w:rPr>
          <w:rFonts w:cstheme="minorHAnsi"/>
          <w:sz w:val="24"/>
          <w:szCs w:val="24"/>
        </w:rPr>
      </w:pPr>
      <w:r>
        <w:rPr>
          <w:noProof/>
        </w:rPr>
        <w:drawing>
          <wp:inline distT="0" distB="0" distL="0" distR="0" wp14:anchorId="1A0B3CAA" wp14:editId="62E3EDB2">
            <wp:extent cx="59436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7925"/>
                    </a:xfrm>
                    <a:prstGeom prst="rect">
                      <a:avLst/>
                    </a:prstGeom>
                  </pic:spPr>
                </pic:pic>
              </a:graphicData>
            </a:graphic>
          </wp:inline>
        </w:drawing>
      </w:r>
    </w:p>
    <w:p w14:paraId="719E3E88" w14:textId="454D7335" w:rsidR="00CD65EF" w:rsidRDefault="00CD65EF" w:rsidP="00CD65EF">
      <w:pPr>
        <w:pStyle w:val="ListParagraph"/>
        <w:spacing w:after="0" w:line="288" w:lineRule="auto"/>
        <w:ind w:left="360"/>
        <w:rPr>
          <w:rFonts w:cstheme="minorHAnsi"/>
          <w:sz w:val="24"/>
          <w:szCs w:val="24"/>
        </w:rPr>
      </w:pPr>
    </w:p>
    <w:p w14:paraId="474984FB" w14:textId="1A9DF160" w:rsidR="00CD65EF" w:rsidRDefault="00D3190B" w:rsidP="00CD65EF">
      <w:pPr>
        <w:pStyle w:val="ListParagraph"/>
        <w:numPr>
          <w:ilvl w:val="0"/>
          <w:numId w:val="6"/>
        </w:numPr>
        <w:spacing w:after="0" w:line="288" w:lineRule="auto"/>
        <w:rPr>
          <w:rFonts w:cstheme="minorHAnsi"/>
          <w:sz w:val="24"/>
          <w:szCs w:val="24"/>
        </w:rPr>
      </w:pPr>
      <w:r>
        <w:rPr>
          <w:rFonts w:cstheme="minorHAnsi"/>
          <w:sz w:val="24"/>
          <w:szCs w:val="24"/>
        </w:rPr>
        <w:t>This is how Netezza source DDL with defaults looks like</w:t>
      </w:r>
    </w:p>
    <w:p w14:paraId="7C156DCE" w14:textId="297B2182" w:rsidR="00CD65EF" w:rsidRPr="00100A0A" w:rsidRDefault="00C31113" w:rsidP="00CD65EF">
      <w:pPr>
        <w:pStyle w:val="ListParagraph"/>
        <w:spacing w:after="0" w:line="288" w:lineRule="auto"/>
        <w:ind w:left="360"/>
        <w:rPr>
          <w:rFonts w:cstheme="minorHAnsi"/>
          <w:sz w:val="24"/>
          <w:szCs w:val="24"/>
        </w:rPr>
      </w:pPr>
      <w:r>
        <w:rPr>
          <w:noProof/>
        </w:rPr>
        <w:lastRenderedPageBreak/>
        <w:drawing>
          <wp:inline distT="0" distB="0" distL="0" distR="0" wp14:anchorId="73C153DC" wp14:editId="526A8E5A">
            <wp:extent cx="5943600" cy="2029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9460"/>
                    </a:xfrm>
                    <a:prstGeom prst="rect">
                      <a:avLst/>
                    </a:prstGeom>
                  </pic:spPr>
                </pic:pic>
              </a:graphicData>
            </a:graphic>
          </wp:inline>
        </w:drawing>
      </w:r>
    </w:p>
    <w:p w14:paraId="33A6CB2F" w14:textId="4ED26194" w:rsidR="00772DAF" w:rsidRDefault="00772DAF" w:rsidP="00DB2071">
      <w:pPr>
        <w:spacing w:after="0" w:line="288" w:lineRule="auto"/>
        <w:rPr>
          <w:rFonts w:cstheme="minorHAnsi"/>
          <w:sz w:val="24"/>
          <w:szCs w:val="24"/>
        </w:rPr>
      </w:pPr>
    </w:p>
    <w:p w14:paraId="4CD08694" w14:textId="6F71196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command prompt and switch to the directory having “Netezza Converter.exe”</w:t>
      </w:r>
    </w:p>
    <w:p w14:paraId="60E946D5" w14:textId="4CB8E36C"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6BF9792D" wp14:editId="2C42AAE2">
            <wp:extent cx="5986091" cy="2414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4364" cy="2422277"/>
                    </a:xfrm>
                    <a:prstGeom prst="rect">
                      <a:avLst/>
                    </a:prstGeom>
                  </pic:spPr>
                </pic:pic>
              </a:graphicData>
            </a:graphic>
          </wp:inline>
        </w:drawing>
      </w:r>
    </w:p>
    <w:p w14:paraId="6B712A4F" w14:textId="14195444"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Execute the “Netezza Converter.exe”</w:t>
      </w:r>
    </w:p>
    <w:p w14:paraId="2AC25F30" w14:textId="645F5128"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37B951CF" wp14:editId="519F2297">
            <wp:extent cx="5943600" cy="2516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54" cy="2520550"/>
                    </a:xfrm>
                    <a:prstGeom prst="rect">
                      <a:avLst/>
                    </a:prstGeom>
                  </pic:spPr>
                </pic:pic>
              </a:graphicData>
            </a:graphic>
          </wp:inline>
        </w:drawing>
      </w:r>
    </w:p>
    <w:p w14:paraId="3AF364C1" w14:textId="408B605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Look into target folder and see the converted script is generated</w:t>
      </w:r>
    </w:p>
    <w:p w14:paraId="3DFC7F97" w14:textId="046BF0F8" w:rsidR="00D3190B" w:rsidRDefault="00D3190B" w:rsidP="00D3190B">
      <w:pPr>
        <w:pStyle w:val="ListParagraph"/>
        <w:spacing w:after="0" w:line="288" w:lineRule="auto"/>
        <w:ind w:left="360"/>
        <w:rPr>
          <w:rFonts w:cstheme="minorHAnsi"/>
          <w:sz w:val="24"/>
          <w:szCs w:val="24"/>
        </w:rPr>
      </w:pPr>
      <w:r>
        <w:rPr>
          <w:noProof/>
        </w:rPr>
        <w:lastRenderedPageBreak/>
        <w:drawing>
          <wp:inline distT="0" distB="0" distL="0" distR="0" wp14:anchorId="3C081AE8" wp14:editId="2772E094">
            <wp:extent cx="594360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7925"/>
                    </a:xfrm>
                    <a:prstGeom prst="rect">
                      <a:avLst/>
                    </a:prstGeom>
                  </pic:spPr>
                </pic:pic>
              </a:graphicData>
            </a:graphic>
          </wp:inline>
        </w:drawing>
      </w:r>
    </w:p>
    <w:p w14:paraId="32BED9D9" w14:textId="4B1A6F1B"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script in SSMA and validate that conversion is successful</w:t>
      </w:r>
    </w:p>
    <w:p w14:paraId="50253892" w14:textId="0C08B7F3" w:rsidR="00D3190B" w:rsidRPr="00D3190B" w:rsidRDefault="00C31113" w:rsidP="00D3190B">
      <w:pPr>
        <w:pStyle w:val="ListParagraph"/>
        <w:spacing w:after="0" w:line="288" w:lineRule="auto"/>
        <w:ind w:left="360"/>
        <w:rPr>
          <w:rFonts w:cstheme="minorHAnsi"/>
          <w:sz w:val="24"/>
          <w:szCs w:val="24"/>
        </w:rPr>
      </w:pPr>
      <w:r>
        <w:rPr>
          <w:noProof/>
        </w:rPr>
        <w:drawing>
          <wp:inline distT="0" distB="0" distL="0" distR="0" wp14:anchorId="4585AC4F" wp14:editId="2668AB7C">
            <wp:extent cx="5943600" cy="1790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0065"/>
                    </a:xfrm>
                    <a:prstGeom prst="rect">
                      <a:avLst/>
                    </a:prstGeom>
                  </pic:spPr>
                </pic:pic>
              </a:graphicData>
            </a:graphic>
          </wp:inline>
        </w:drawing>
      </w:r>
    </w:p>
    <w:p w14:paraId="1BF4020F" w14:textId="77777777" w:rsidR="00A3272B" w:rsidRDefault="00A3272B" w:rsidP="00DB2071">
      <w:pPr>
        <w:spacing w:after="0" w:line="288" w:lineRule="auto"/>
        <w:rPr>
          <w:rFonts w:cstheme="minorHAnsi"/>
          <w:sz w:val="24"/>
          <w:szCs w:val="24"/>
        </w:rPr>
      </w:pP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32C3F0A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 with or without external tables</w:t>
      </w:r>
    </w:p>
    <w:p w14:paraId="21F37BC7" w14:textId="065BA9C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058C4F26" w14:textId="125404AE" w:rsidR="00A3272B" w:rsidRDefault="00A3272B" w:rsidP="00A3272B">
      <w:pPr>
        <w:spacing w:after="0" w:line="288" w:lineRule="auto"/>
        <w:rPr>
          <w:rFonts w:cstheme="minorHAnsi"/>
          <w:sz w:val="24"/>
          <w:szCs w:val="24"/>
        </w:rPr>
      </w:pPr>
    </w:p>
    <w:sectPr w:rsidR="00A3272B">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7AFBF" w14:textId="77777777" w:rsidR="00BC10CA" w:rsidRDefault="00BC10CA" w:rsidP="0017242E">
      <w:pPr>
        <w:spacing w:after="0" w:line="240" w:lineRule="auto"/>
      </w:pPr>
      <w:r>
        <w:separator/>
      </w:r>
    </w:p>
  </w:endnote>
  <w:endnote w:type="continuationSeparator" w:id="0">
    <w:p w14:paraId="13D0932A" w14:textId="77777777" w:rsidR="00BC10CA" w:rsidRDefault="00BC10CA"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00DD3" w14:textId="6CEA4A64" w:rsidR="00040815" w:rsidRDefault="00C10F8F">
    <w:pPr>
      <w:pStyle w:val="Footer"/>
    </w:pPr>
    <w:bookmarkStart w:id="0" w:name="_GoBack"/>
    <w:bookmarkEnd w:id="0"/>
    <w:r>
      <w:t xml:space="preserve">Prepared by </w:t>
    </w:r>
    <w:r w:rsidRPr="00C10F8F">
      <w:t>Data Migration Jumpstart Engineering Team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6C113" w14:textId="77777777" w:rsidR="00BC10CA" w:rsidRDefault="00BC10CA" w:rsidP="0017242E">
      <w:pPr>
        <w:spacing w:after="0" w:line="240" w:lineRule="auto"/>
      </w:pPr>
      <w:r>
        <w:separator/>
      </w:r>
    </w:p>
  </w:footnote>
  <w:footnote w:type="continuationSeparator" w:id="0">
    <w:p w14:paraId="65FAEEA3" w14:textId="77777777" w:rsidR="00BC10CA" w:rsidRDefault="00BC10CA"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E61CE"/>
    <w:rsid w:val="00100A0A"/>
    <w:rsid w:val="00103259"/>
    <w:rsid w:val="001208E4"/>
    <w:rsid w:val="0017242E"/>
    <w:rsid w:val="001E409D"/>
    <w:rsid w:val="00251803"/>
    <w:rsid w:val="002843EB"/>
    <w:rsid w:val="00294CA6"/>
    <w:rsid w:val="002A3960"/>
    <w:rsid w:val="002D7E0C"/>
    <w:rsid w:val="00354C48"/>
    <w:rsid w:val="003754C2"/>
    <w:rsid w:val="00382B7B"/>
    <w:rsid w:val="003A3920"/>
    <w:rsid w:val="003B1499"/>
    <w:rsid w:val="0040140C"/>
    <w:rsid w:val="00487D22"/>
    <w:rsid w:val="00494248"/>
    <w:rsid w:val="00494362"/>
    <w:rsid w:val="004A619D"/>
    <w:rsid w:val="005041AA"/>
    <w:rsid w:val="00531B37"/>
    <w:rsid w:val="00554D14"/>
    <w:rsid w:val="00632395"/>
    <w:rsid w:val="006577B2"/>
    <w:rsid w:val="006E4E92"/>
    <w:rsid w:val="00724880"/>
    <w:rsid w:val="00736140"/>
    <w:rsid w:val="00737528"/>
    <w:rsid w:val="00772DAF"/>
    <w:rsid w:val="00785AE7"/>
    <w:rsid w:val="007E099C"/>
    <w:rsid w:val="0084040B"/>
    <w:rsid w:val="00845649"/>
    <w:rsid w:val="00866D5C"/>
    <w:rsid w:val="00922144"/>
    <w:rsid w:val="00A01610"/>
    <w:rsid w:val="00A3272B"/>
    <w:rsid w:val="00BC10CA"/>
    <w:rsid w:val="00BC6308"/>
    <w:rsid w:val="00C10F8F"/>
    <w:rsid w:val="00C26C41"/>
    <w:rsid w:val="00C31113"/>
    <w:rsid w:val="00C342F2"/>
    <w:rsid w:val="00C5449C"/>
    <w:rsid w:val="00CB7B58"/>
    <w:rsid w:val="00CD65EF"/>
    <w:rsid w:val="00D3190B"/>
    <w:rsid w:val="00D477EE"/>
    <w:rsid w:val="00D96D5D"/>
    <w:rsid w:val="00DA4852"/>
    <w:rsid w:val="00DA5FDD"/>
    <w:rsid w:val="00DB2071"/>
    <w:rsid w:val="00DE72A0"/>
    <w:rsid w:val="00E66F4C"/>
    <w:rsid w:val="00E848C8"/>
    <w:rsid w:val="00EB18F7"/>
    <w:rsid w:val="00EE3E1D"/>
    <w:rsid w:val="00F65AD9"/>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B4BE38-B0CC-4C18-A614-BD67930DDC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6</Pages>
  <Words>586</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Vijay Kumar</cp:lastModifiedBy>
  <cp:revision>29</cp:revision>
  <dcterms:created xsi:type="dcterms:W3CDTF">2018-01-19T15:49:00Z</dcterms:created>
  <dcterms:modified xsi:type="dcterms:W3CDTF">2020-01-17T17:44:00Z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2018-01-19T16:09:09.4387229Z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0x0101001663038BF9716642BCA9BEDEEEE991E8</vt:lpwstr>
  </property>
</Properties>
</file>