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A365D"/>
          <w:sz w:val="52"/>
        </w:rPr>
        <w:t>Apex Global Innovations</w:t>
      </w:r>
    </w:p>
    <w:p>
      <w:pPr>
        <w:spacing w:before="0" w:after="480"/>
      </w:pPr>
      <w:r>
        <w:rPr>
          <w:rFonts w:ascii="Arial" w:hAnsi="Arial"/>
          <w:color w:val="2B6CB0"/>
          <w:sz w:val="26"/>
        </w:rPr>
        <w:t>Comprehensive Employee Handbook &amp; Corporate Policy Manual</w:t>
      </w:r>
    </w:p>
    <w:tbl>
      <w:tblPr>
        <w:tblW w:type="auto" w:w="0"/>
        <w:jc w:val="center"/>
        <w:tblLook w:firstColumn="1" w:firstRow="1" w:lastColumn="0" w:lastRow="0" w:noHBand="0" w:noVBand="1" w:val="04A0"/>
      </w:tblPr>
      <w:tblGrid>
        <w:gridCol w:w="4680"/>
        <w:gridCol w:w="4680"/>
      </w:tblGrid>
      <w:tr>
        <w:tc>
          <w:tcPr>
            <w:tcW w:type="dxa" w:w="4680"/>
            <w:shd w:fill="EDF2F7"/>
            <w:tcMar>
              <w:top w:w="80" w:type="dxa"/>
              <w:bottom w:w="80" w:type="dxa"/>
              <w:left w:w="120" w:type="dxa"/>
              <w:right w:w="120" w:type="dxa"/>
            </w:tcMar>
          </w:tcPr>
          <w:p>
            <w:pPr>
              <w:spacing w:after="0"/>
            </w:pPr>
            <w:r>
              <w:rPr>
                <w:rFonts w:ascii="Arial" w:hAnsi="Arial"/>
                <w:b/>
                <w:color w:val="1A365D"/>
                <w:sz w:val="19"/>
              </w:rPr>
              <w:t>Document Version:</w:t>
            </w:r>
            <w:r>
              <w:rPr>
                <w:rFonts w:ascii="Arial" w:hAnsi="Arial"/>
                <w:color w:val="2D3748"/>
                <w:sz w:val="19"/>
              </w:rPr>
              <w:t xml:space="preserve"> 3.2</w:t>
            </w:r>
          </w:p>
        </w:tc>
        <w:tc>
          <w:tcPr>
            <w:tcW w:type="dxa" w:w="4680"/>
            <w:shd w:fill="EDF2F7"/>
            <w:tcMar>
              <w:top w:w="80" w:type="dxa"/>
              <w:bottom w:w="80" w:type="dxa"/>
              <w:left w:w="120" w:type="dxa"/>
              <w:right w:w="120" w:type="dxa"/>
            </w:tcMar>
          </w:tcPr>
          <w:p>
            <w:pPr>
              <w:spacing w:after="0"/>
            </w:pPr>
            <w:r>
              <w:rPr>
                <w:rFonts w:ascii="Arial" w:hAnsi="Arial"/>
                <w:b/>
                <w:color w:val="1A365D"/>
                <w:sz w:val="19"/>
              </w:rPr>
              <w:t>Effective Date:</w:t>
            </w:r>
            <w:r>
              <w:rPr>
                <w:rFonts w:ascii="Arial" w:hAnsi="Arial"/>
                <w:color w:val="2D3748"/>
                <w:sz w:val="19"/>
              </w:rPr>
              <w:t xml:space="preserve"> January 1, 2026</w:t>
            </w:r>
          </w:p>
        </w:tc>
      </w:tr>
      <w:tr>
        <w:tc>
          <w:tcPr>
            <w:tcW w:type="dxa" w:w="4680"/>
            <w:shd w:fill="EDF2F7"/>
            <w:tcMar>
              <w:top w:w="80" w:type="dxa"/>
              <w:bottom w:w="80" w:type="dxa"/>
              <w:left w:w="120" w:type="dxa"/>
              <w:right w:w="120" w:type="dxa"/>
            </w:tcMar>
          </w:tcPr>
          <w:p>
            <w:pPr>
              <w:spacing w:after="0"/>
            </w:pPr>
            <w:r>
              <w:rPr>
                <w:rFonts w:ascii="Arial" w:hAnsi="Arial"/>
                <w:b/>
                <w:color w:val="1A365D"/>
                <w:sz w:val="19"/>
              </w:rPr>
              <w:t>Approved By:</w:t>
            </w:r>
            <w:r>
              <w:rPr>
                <w:rFonts w:ascii="Arial" w:hAnsi="Arial"/>
                <w:color w:val="2D3748"/>
                <w:sz w:val="19"/>
              </w:rPr>
              <w:t xml:space="preserve"> Executive Board &amp; HR</w:t>
            </w:r>
          </w:p>
        </w:tc>
        <w:tc>
          <w:tcPr>
            <w:tcW w:type="dxa" w:w="4680"/>
            <w:shd w:fill="EDF2F7"/>
            <w:tcMar>
              <w:top w:w="80" w:type="dxa"/>
              <w:bottom w:w="80" w:type="dxa"/>
              <w:left w:w="120" w:type="dxa"/>
              <w:right w:w="120" w:type="dxa"/>
            </w:tcMar>
          </w:tcPr>
          <w:p>
            <w:pPr>
              <w:spacing w:after="0"/>
            </w:pPr>
            <w:r>
              <w:rPr>
                <w:rFonts w:ascii="Arial" w:hAnsi="Arial"/>
                <w:b/>
                <w:color w:val="1A365D"/>
                <w:sz w:val="19"/>
              </w:rPr>
              <w:t>Applicability:</w:t>
            </w:r>
            <w:r>
              <w:rPr>
                <w:rFonts w:ascii="Arial" w:hAnsi="Arial"/>
                <w:color w:val="2D3748"/>
                <w:sz w:val="19"/>
              </w:rPr>
              <w:t xml:space="preserve"> All Full-Time &amp; Part-Time Staff</w:t>
            </w:r>
          </w:p>
        </w:tc>
      </w:tr>
    </w:tbl>
    <w:p>
      <w:pPr>
        <w:spacing w:after="240"/>
      </w:pPr>
    </w:p>
    <w:p>
      <w:pPr>
        <w:keepNext/>
        <w:spacing w:before="360" w:after="120"/>
      </w:pPr>
      <w:r>
        <w:rPr>
          <w:rFonts w:ascii="Arial" w:hAnsi="Arial"/>
          <w:b/>
          <w:color w:val="1A365D"/>
          <w:sz w:val="32"/>
        </w:rPr>
        <w:t>1. Code of Conduct &amp; Workplace Ethics</w:t>
      </w:r>
    </w:p>
    <w:p>
      <w:pPr>
        <w:keepNext/>
        <w:spacing w:before="240" w:after="80"/>
      </w:pPr>
      <w:r>
        <w:rPr>
          <w:rFonts w:ascii="Arial" w:hAnsi="Arial"/>
          <w:b/>
          <w:color w:val="2B6CB0"/>
          <w:sz w:val="24"/>
        </w:rPr>
        <w:t>1.1 Core Principles &amp; Values</w:t>
      </w:r>
    </w:p>
    <w:p>
      <w:pPr>
        <w:spacing w:before="0" w:after="120" w:line="276" w:lineRule="auto"/>
      </w:pPr>
      <w:r>
        <w:rPr>
          <w:rFonts w:ascii="Arial" w:hAnsi="Arial"/>
          <w:color w:val="2D3748"/>
          <w:sz w:val="21"/>
        </w:rPr>
        <w:t>Apex Global Innovations is committed to maintaining an ethical, professional, and inclusive work environment. All team members are expected to execute their responsibilities with integrity, honesty, transparency, and respect for colleagues, clients, and partners.</w:t>
      </w:r>
    </w:p>
    <w:p>
      <w:pPr>
        <w:keepNext/>
        <w:spacing w:before="240" w:after="80"/>
      </w:pPr>
      <w:r>
        <w:rPr>
          <w:rFonts w:ascii="Arial" w:hAnsi="Arial"/>
          <w:b/>
          <w:color w:val="2B6CB0"/>
          <w:sz w:val="24"/>
        </w:rPr>
        <w:t>1.2 Professional Conduct &amp; Interpersonal Dynamics</w:t>
      </w:r>
    </w:p>
    <w:p>
      <w:pPr>
        <w:pStyle w:val="ListBullet"/>
        <w:spacing w:before="0" w:after="60" w:line="276" w:lineRule="auto"/>
      </w:pPr>
      <w:r>
        <w:rPr>
          <w:rFonts w:ascii="Arial" w:hAnsi="Arial"/>
          <w:b/>
          <w:color w:val="2D3748"/>
          <w:sz w:val="21"/>
        </w:rPr>
        <w:t>Respectful Workplace:</w:t>
      </w:r>
      <w:r>
        <w:rPr>
          <w:rFonts w:ascii="Arial" w:hAnsi="Arial"/>
          <w:color w:val="2D3748"/>
          <w:sz w:val="21"/>
        </w:rPr>
        <w:t xml:space="preserve"> Treat all colleagues, managers, and stakeholders with courtesy, empathy, and professional dignity.</w:t>
      </w:r>
    </w:p>
    <w:p>
      <w:pPr>
        <w:pStyle w:val="ListBullet"/>
        <w:spacing w:before="0" w:after="60" w:line="276" w:lineRule="auto"/>
      </w:pPr>
      <w:r>
        <w:rPr>
          <w:rFonts w:ascii="Arial" w:hAnsi="Arial"/>
          <w:b/>
          <w:color w:val="2D3748"/>
          <w:sz w:val="21"/>
        </w:rPr>
        <w:t>Accountability &amp; Ownership:</w:t>
      </w:r>
      <w:r>
        <w:rPr>
          <w:rFonts w:ascii="Arial" w:hAnsi="Arial"/>
          <w:color w:val="2D3748"/>
          <w:sz w:val="21"/>
        </w:rPr>
        <w:t xml:space="preserve"> Maintain high standards of reliability and punctuality across all scheduled commitments and meetings.</w:t>
      </w:r>
    </w:p>
    <w:p>
      <w:pPr>
        <w:pStyle w:val="ListBullet"/>
        <w:spacing w:before="0" w:after="60" w:line="276" w:lineRule="auto"/>
      </w:pPr>
      <w:r>
        <w:rPr>
          <w:rFonts w:ascii="Arial" w:hAnsi="Arial"/>
          <w:b/>
          <w:color w:val="2D3748"/>
          <w:sz w:val="21"/>
        </w:rPr>
        <w:t>Conflict of Interest:</w:t>
      </w:r>
      <w:r>
        <w:rPr>
          <w:rFonts w:ascii="Arial" w:hAnsi="Arial"/>
          <w:color w:val="2D3748"/>
          <w:sz w:val="21"/>
        </w:rPr>
        <w:t xml:space="preserve"> Conflicts of interest, whether potential or actual, must be proactively disclosed to Management immediately.</w:t>
      </w:r>
    </w:p>
    <w:p>
      <w:pPr>
        <w:keepNext/>
        <w:spacing w:before="240" w:after="80"/>
      </w:pPr>
      <w:r>
        <w:rPr>
          <w:rFonts w:ascii="Arial" w:hAnsi="Arial"/>
          <w:b/>
          <w:color w:val="2B6CB0"/>
          <w:sz w:val="24"/>
        </w:rPr>
        <w:t>1.3 Anti-Harassment, Discrimination &amp; Bullying Policy</w:t>
      </w:r>
    </w:p>
    <w:p>
      <w:pPr>
        <w:spacing w:before="0" w:after="120" w:line="276" w:lineRule="auto"/>
      </w:pPr>
      <w:r>
        <w:rPr>
          <w:rFonts w:ascii="Arial" w:hAnsi="Arial"/>
          <w:color w:val="2D3748"/>
          <w:sz w:val="21"/>
        </w:rPr>
        <w:t>We enforce a strict Zero-Tolerance Policy regarding any form of discrimination, harassment, sexual harassment, or workplace bullying based on race, gender, religion, age, disability, nationality, or sexual orientation. Offending behavior will result in immediate disciplinary action, up to and including summary termination.</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24" w:space="0" w:color="2B6CB0"/>
              <w:top w:val="none"/>
              <w:right w:val="none"/>
              <w:bottom w:val="none"/>
            </w:tcBorders>
          </w:tcPr>
          <w:p>
            <w:pPr>
              <w:spacing w:after="40"/>
            </w:pPr>
            <w:r>
              <w:rPr>
                <w:rFonts w:ascii="Arial" w:hAnsi="Arial"/>
                <w:b/>
                <w:color w:val="2B6CB0"/>
                <w:sz w:val="20"/>
              </w:rPr>
              <w:t>📌 ZERO-TOLERANCE COMPLIANCE NOTE</w:t>
              <w:br/>
            </w:r>
            <w:r>
              <w:rPr>
                <w:rFonts w:ascii="Arial" w:hAnsi="Arial"/>
                <w:i/>
                <w:color w:val="2D3748"/>
                <w:sz w:val="20"/>
              </w:rPr>
              <w:t>Employees who experience or witness any form of discrimination or harassment are encouraged to report it immediately to HR. Reports will be investigated promptly with strict confidentiality and protection against retaliation.</w:t>
            </w:r>
          </w:p>
        </w:tc>
      </w:tr>
    </w:tbl>
    <w:p>
      <w:pPr>
        <w:spacing w:before="0" w:after="120"/>
      </w:pPr>
    </w:p>
    <w:p>
      <w:pPr>
        <w:keepNext/>
        <w:spacing w:before="360" w:after="120"/>
      </w:pPr>
      <w:r>
        <w:rPr>
          <w:rFonts w:ascii="Arial" w:hAnsi="Arial"/>
          <w:b/>
          <w:color w:val="1A365D"/>
          <w:sz w:val="32"/>
        </w:rPr>
        <w:t>2. Leave &amp; Time-Off Policy</w:t>
      </w:r>
    </w:p>
    <w:p>
      <w:pPr>
        <w:keepNext/>
        <w:spacing w:before="240" w:after="80"/>
      </w:pPr>
      <w:r>
        <w:rPr>
          <w:rFonts w:ascii="Arial" w:hAnsi="Arial"/>
          <w:b/>
          <w:color w:val="2B6CB0"/>
          <w:sz w:val="24"/>
        </w:rPr>
        <w:t>2.1 Overview &amp; Annual Leave Entitlements</w:t>
      </w:r>
    </w:p>
    <w:p>
      <w:pPr>
        <w:spacing w:before="0" w:after="120" w:line="276" w:lineRule="auto"/>
      </w:pPr>
      <w:r>
        <w:rPr>
          <w:rFonts w:ascii="Arial" w:hAnsi="Arial"/>
          <w:color w:val="2D3748"/>
          <w:sz w:val="21"/>
        </w:rPr>
        <w:t>To promote healthy work-life balance and personal wellness, full-time employees accrue time off annually based on their tenure and employment status.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r>
              <w:rPr>
                <w:rFonts w:ascii="Arial" w:hAnsi="Arial"/>
                <w:b/>
                <w:color w:val="FFFFFF"/>
                <w:sz w:val="19"/>
              </w:rPr>
              <w:t>Leave Category</w:t>
            </w:r>
          </w:p>
        </w:tc>
        <w:tc>
          <w:tcPr>
            <w:tcW w:type="dxa" w:w="2340"/>
            <w:shd w:fill="1A365D"/>
            <w:tcMar>
              <w:top w:w="100" w:type="dxa"/>
              <w:bottom w:w="100" w:type="dxa"/>
              <w:left w:w="120" w:type="dxa"/>
              <w:right w:w="120" w:type="dxa"/>
            </w:tcMar>
          </w:tcPr>
          <w:p>
            <w:r>
              <w:rPr>
                <w:rFonts w:ascii="Arial" w:hAnsi="Arial"/>
                <w:b/>
                <w:color w:val="FFFFFF"/>
                <w:sz w:val="19"/>
              </w:rPr>
              <w:t>Annual Entitlement</w:t>
            </w:r>
          </w:p>
        </w:tc>
        <w:tc>
          <w:tcPr>
            <w:tcW w:type="dxa" w:w="2340"/>
            <w:shd w:fill="1A365D"/>
            <w:tcMar>
              <w:top w:w="100" w:type="dxa"/>
              <w:bottom w:w="100" w:type="dxa"/>
              <w:left w:w="120" w:type="dxa"/>
              <w:right w:w="120" w:type="dxa"/>
            </w:tcMar>
          </w:tcPr>
          <w:p>
            <w:r>
              <w:rPr>
                <w:rFonts w:ascii="Arial" w:hAnsi="Arial"/>
                <w:b/>
                <w:color w:val="FFFFFF"/>
                <w:sz w:val="19"/>
              </w:rPr>
              <w:t>Accrual Rate</w:t>
            </w:r>
          </w:p>
        </w:tc>
        <w:tc>
          <w:tcPr>
            <w:tcW w:type="dxa" w:w="2340"/>
            <w:shd w:fill="1A365D"/>
            <w:tcMar>
              <w:top w:w="100" w:type="dxa"/>
              <w:bottom w:w="100" w:type="dxa"/>
              <w:left w:w="120" w:type="dxa"/>
              <w:right w:w="120" w:type="dxa"/>
            </w:tcMar>
          </w:tcPr>
          <w:p>
            <w:r>
              <w:rPr>
                <w:rFonts w:ascii="Arial" w:hAnsi="Arial"/>
                <w:b/>
                <w:color w:val="FFFFFF"/>
                <w:sz w:val="19"/>
              </w:rPr>
              <w:t>Carry-Forward Cap</w:t>
            </w:r>
          </w:p>
        </w:tc>
      </w:tr>
      <w:tr>
        <w:tc>
          <w:tcPr>
            <w:tcW w:type="dxa" w:w="2340"/>
            <w:shd w:fill="FFFFFF"/>
            <w:tcMar>
              <w:top w:w="80" w:type="dxa"/>
              <w:bottom w:w="80" w:type="dxa"/>
              <w:left w:w="120" w:type="dxa"/>
              <w:right w:w="120" w:type="dxa"/>
            </w:tcMar>
          </w:tcPr>
          <w:p>
            <w:r>
              <w:rPr>
                <w:rFonts w:ascii="Arial" w:hAnsi="Arial"/>
                <w:color w:val="2D3748"/>
                <w:sz w:val="19"/>
              </w:rPr>
              <w:t>Earned Paid Leave (EPL)</w:t>
            </w:r>
          </w:p>
        </w:tc>
        <w:tc>
          <w:tcPr>
            <w:tcW w:type="dxa" w:w="2340"/>
            <w:shd w:fill="FFFFFF"/>
            <w:tcMar>
              <w:top w:w="80" w:type="dxa"/>
              <w:bottom w:w="80" w:type="dxa"/>
              <w:left w:w="120" w:type="dxa"/>
              <w:right w:w="120" w:type="dxa"/>
            </w:tcMar>
          </w:tcPr>
          <w:p>
            <w:r>
              <w:rPr>
                <w:rFonts w:ascii="Arial" w:hAnsi="Arial"/>
                <w:color w:val="2D3748"/>
                <w:sz w:val="19"/>
              </w:rPr>
              <w:t>20 Working Days</w:t>
            </w:r>
          </w:p>
        </w:tc>
        <w:tc>
          <w:tcPr>
            <w:tcW w:type="dxa" w:w="2340"/>
            <w:shd w:fill="FFFFFF"/>
            <w:tcMar>
              <w:top w:w="80" w:type="dxa"/>
              <w:bottom w:w="80" w:type="dxa"/>
              <w:left w:w="120" w:type="dxa"/>
              <w:right w:w="120" w:type="dxa"/>
            </w:tcMar>
          </w:tcPr>
          <w:p>
            <w:r>
              <w:rPr>
                <w:rFonts w:ascii="Arial" w:hAnsi="Arial"/>
                <w:color w:val="2D3748"/>
                <w:sz w:val="19"/>
              </w:rPr>
              <w:t>1.66 days / month</w:t>
            </w:r>
          </w:p>
        </w:tc>
        <w:tc>
          <w:tcPr>
            <w:tcW w:type="dxa" w:w="2340"/>
            <w:shd w:fill="FFFFFF"/>
            <w:tcMar>
              <w:top w:w="80" w:type="dxa"/>
              <w:bottom w:w="80" w:type="dxa"/>
              <w:left w:w="120" w:type="dxa"/>
              <w:right w:w="120" w:type="dxa"/>
            </w:tcMar>
          </w:tcPr>
          <w:p>
            <w:r>
              <w:rPr>
                <w:rFonts w:ascii="Arial" w:hAnsi="Arial"/>
                <w:color w:val="2D3748"/>
                <w:sz w:val="19"/>
              </w:rPr>
              <w:t>Max 5 days</w:t>
            </w:r>
          </w:p>
        </w:tc>
      </w:tr>
      <w:tr>
        <w:tc>
          <w:tcPr>
            <w:tcW w:type="dxa" w:w="2340"/>
            <w:shd w:fill="F7FAFC"/>
            <w:tcMar>
              <w:top w:w="80" w:type="dxa"/>
              <w:bottom w:w="80" w:type="dxa"/>
              <w:left w:w="120" w:type="dxa"/>
              <w:right w:w="120" w:type="dxa"/>
            </w:tcMar>
          </w:tcPr>
          <w:p>
            <w:r>
              <w:rPr>
                <w:rFonts w:ascii="Arial" w:hAnsi="Arial"/>
                <w:color w:val="2D3748"/>
                <w:sz w:val="19"/>
              </w:rPr>
              <w:t>Casual &amp; Sick Leave</w:t>
            </w:r>
          </w:p>
        </w:tc>
        <w:tc>
          <w:tcPr>
            <w:tcW w:type="dxa" w:w="2340"/>
            <w:shd w:fill="F7FAFC"/>
            <w:tcMar>
              <w:top w:w="80" w:type="dxa"/>
              <w:bottom w:w="80" w:type="dxa"/>
              <w:left w:w="120" w:type="dxa"/>
              <w:right w:w="120" w:type="dxa"/>
            </w:tcMar>
          </w:tcPr>
          <w:p>
            <w:r>
              <w:rPr>
                <w:rFonts w:ascii="Arial" w:hAnsi="Arial"/>
                <w:color w:val="2D3748"/>
                <w:sz w:val="19"/>
              </w:rPr>
              <w:t>10 Days</w:t>
            </w:r>
          </w:p>
        </w:tc>
        <w:tc>
          <w:tcPr>
            <w:tcW w:type="dxa" w:w="2340"/>
            <w:shd w:fill="F7FAFC"/>
            <w:tcMar>
              <w:top w:w="80" w:type="dxa"/>
              <w:bottom w:w="80" w:type="dxa"/>
              <w:left w:w="120" w:type="dxa"/>
              <w:right w:w="120" w:type="dxa"/>
            </w:tcMar>
          </w:tcPr>
          <w:p>
            <w:r>
              <w:rPr>
                <w:rFonts w:ascii="Arial" w:hAnsi="Arial"/>
                <w:color w:val="2D3748"/>
                <w:sz w:val="19"/>
              </w:rPr>
              <w:t>Fully credited on Jan 1</w:t>
            </w:r>
          </w:p>
        </w:tc>
        <w:tc>
          <w:tcPr>
            <w:tcW w:type="dxa" w:w="2340"/>
            <w:shd w:fill="F7FAFC"/>
            <w:tcMar>
              <w:top w:w="80" w:type="dxa"/>
              <w:bottom w:w="80" w:type="dxa"/>
              <w:left w:w="120" w:type="dxa"/>
              <w:right w:w="120" w:type="dxa"/>
            </w:tcMar>
          </w:tcPr>
          <w:p>
            <w:r>
              <w:rPr>
                <w:rFonts w:ascii="Arial" w:hAnsi="Arial"/>
                <w:color w:val="2D3748"/>
                <w:sz w:val="19"/>
              </w:rPr>
              <w:t>Non-encashable / Expire Dec 31</w:t>
            </w:r>
          </w:p>
        </w:tc>
      </w:tr>
      <w:tr>
        <w:tc>
          <w:tcPr>
            <w:tcW w:type="dxa" w:w="2340"/>
            <w:shd w:fill="FFFFFF"/>
            <w:tcMar>
              <w:top w:w="80" w:type="dxa"/>
              <w:bottom w:w="80" w:type="dxa"/>
              <w:left w:w="120" w:type="dxa"/>
              <w:right w:w="120" w:type="dxa"/>
            </w:tcMar>
          </w:tcPr>
          <w:p>
            <w:r>
              <w:rPr>
                <w:rFonts w:ascii="Arial" w:hAnsi="Arial"/>
                <w:color w:val="2D3748"/>
                <w:sz w:val="19"/>
              </w:rPr>
              <w:t>Maternity Leave</w:t>
            </w:r>
          </w:p>
        </w:tc>
        <w:tc>
          <w:tcPr>
            <w:tcW w:type="dxa" w:w="2340"/>
            <w:shd w:fill="FFFFFF"/>
            <w:tcMar>
              <w:top w:w="80" w:type="dxa"/>
              <w:bottom w:w="80" w:type="dxa"/>
              <w:left w:w="120" w:type="dxa"/>
              <w:right w:w="120" w:type="dxa"/>
            </w:tcMar>
          </w:tcPr>
          <w:p>
            <w:r>
              <w:rPr>
                <w:rFonts w:ascii="Arial" w:hAnsi="Arial"/>
                <w:color w:val="2D3748"/>
                <w:sz w:val="19"/>
              </w:rPr>
              <w:t>12 Consecutive Weeks</w:t>
            </w:r>
          </w:p>
        </w:tc>
        <w:tc>
          <w:tcPr>
            <w:tcW w:type="dxa" w:w="2340"/>
            <w:shd w:fill="FFFFFF"/>
            <w:tcMar>
              <w:top w:w="80" w:type="dxa"/>
              <w:bottom w:w="80" w:type="dxa"/>
              <w:left w:w="120" w:type="dxa"/>
              <w:right w:w="120" w:type="dxa"/>
            </w:tcMar>
          </w:tcPr>
          <w:p>
            <w:r>
              <w:rPr>
                <w:rFonts w:ascii="Arial" w:hAnsi="Arial"/>
                <w:color w:val="2D3748"/>
                <w:sz w:val="19"/>
              </w:rPr>
              <w:t>Full pay upon request</w:t>
            </w:r>
          </w:p>
        </w:tc>
        <w:tc>
          <w:tcPr>
            <w:tcW w:type="dxa" w:w="2340"/>
            <w:shd w:fill="FFFFFF"/>
            <w:tcMar>
              <w:top w:w="80" w:type="dxa"/>
              <w:bottom w:w="80" w:type="dxa"/>
              <w:left w:w="120" w:type="dxa"/>
              <w:right w:w="120" w:type="dxa"/>
            </w:tcMar>
          </w:tcPr>
          <w:p>
            <w:r>
              <w:rPr>
                <w:rFonts w:ascii="Arial" w:hAnsi="Arial"/>
                <w:color w:val="2D3748"/>
                <w:sz w:val="19"/>
              </w:rPr>
              <w:t>N/A</w:t>
            </w:r>
          </w:p>
        </w:tc>
      </w:tr>
      <w:tr>
        <w:tc>
          <w:tcPr>
            <w:tcW w:type="dxa" w:w="2340"/>
            <w:shd w:fill="F7FAFC"/>
            <w:tcMar>
              <w:top w:w="80" w:type="dxa"/>
              <w:bottom w:w="80" w:type="dxa"/>
              <w:left w:w="120" w:type="dxa"/>
              <w:right w:w="120" w:type="dxa"/>
            </w:tcMar>
          </w:tcPr>
          <w:p>
            <w:r>
              <w:rPr>
                <w:rFonts w:ascii="Arial" w:hAnsi="Arial"/>
                <w:color w:val="2D3748"/>
                <w:sz w:val="19"/>
              </w:rPr>
              <w:t>Paternity Leave</w:t>
            </w:r>
          </w:p>
        </w:tc>
        <w:tc>
          <w:tcPr>
            <w:tcW w:type="dxa" w:w="2340"/>
            <w:shd w:fill="F7FAFC"/>
            <w:tcMar>
              <w:top w:w="80" w:type="dxa"/>
              <w:bottom w:w="80" w:type="dxa"/>
              <w:left w:w="120" w:type="dxa"/>
              <w:right w:w="120" w:type="dxa"/>
            </w:tcMar>
          </w:tcPr>
          <w:p>
            <w:r>
              <w:rPr>
                <w:rFonts w:ascii="Arial" w:hAnsi="Arial"/>
                <w:color w:val="2D3748"/>
                <w:sz w:val="19"/>
              </w:rPr>
              <w:t>2 Consecutive Weeks</w:t>
            </w:r>
          </w:p>
        </w:tc>
        <w:tc>
          <w:tcPr>
            <w:tcW w:type="dxa" w:w="2340"/>
            <w:shd w:fill="F7FAFC"/>
            <w:tcMar>
              <w:top w:w="80" w:type="dxa"/>
              <w:bottom w:w="80" w:type="dxa"/>
              <w:left w:w="120" w:type="dxa"/>
              <w:right w:w="120" w:type="dxa"/>
            </w:tcMar>
          </w:tcPr>
          <w:p>
            <w:r>
              <w:rPr>
                <w:rFonts w:ascii="Arial" w:hAnsi="Arial"/>
                <w:color w:val="2D3748"/>
                <w:sz w:val="19"/>
              </w:rPr>
              <w:t>Full pay upon request</w:t>
            </w:r>
          </w:p>
        </w:tc>
        <w:tc>
          <w:tcPr>
            <w:tcW w:type="dxa" w:w="2340"/>
            <w:shd w:fill="F7FAFC"/>
            <w:tcMar>
              <w:top w:w="80" w:type="dxa"/>
              <w:bottom w:w="80" w:type="dxa"/>
              <w:left w:w="120" w:type="dxa"/>
              <w:right w:w="120" w:type="dxa"/>
            </w:tcMar>
          </w:tcPr>
          <w:p>
            <w:r>
              <w:rPr>
                <w:rFonts w:ascii="Arial" w:hAnsi="Arial"/>
                <w:color w:val="2D3748"/>
                <w:sz w:val="19"/>
              </w:rPr>
              <w:t>N/A</w:t>
            </w:r>
          </w:p>
        </w:tc>
      </w:tr>
    </w:tbl>
    <w:p>
      <w:pPr>
        <w:spacing w:after="240"/>
      </w:pPr>
    </w:p>
    <w:p>
      <w:pPr>
        <w:keepNext/>
        <w:spacing w:before="240" w:after="80"/>
      </w:pPr>
      <w:r>
        <w:rPr>
          <w:rFonts w:ascii="Arial" w:hAnsi="Arial"/>
          <w:b/>
          <w:color w:val="2B6CB0"/>
          <w:sz w:val="24"/>
        </w:rPr>
        <w:t>2.2 Leave Request &amp; Approval Workflow</w:t>
      </w:r>
    </w:p>
    <w:p>
      <w:pPr>
        <w:pStyle w:val="ListBullet"/>
        <w:spacing w:before="0" w:after="60" w:line="276" w:lineRule="auto"/>
      </w:pPr>
      <w:r>
        <w:rPr>
          <w:rFonts w:ascii="Arial" w:hAnsi="Arial"/>
          <w:b/>
          <w:color w:val="2D3748"/>
          <w:sz w:val="21"/>
        </w:rPr>
        <w:t>Advance Notice:</w:t>
      </w:r>
      <w:r>
        <w:rPr>
          <w:rFonts w:ascii="Arial" w:hAnsi="Arial"/>
          <w:color w:val="2D3748"/>
          <w:sz w:val="21"/>
        </w:rPr>
        <w:t xml:space="preserve"> Leave requests of 3 consecutive days or more must be submitted at least 5 business days in advance via the HR Portal.</w:t>
      </w:r>
    </w:p>
    <w:p>
      <w:pPr>
        <w:pStyle w:val="ListBullet"/>
        <w:spacing w:before="0" w:after="60" w:line="276" w:lineRule="auto"/>
      </w:pPr>
      <w:r>
        <w:rPr>
          <w:rFonts w:ascii="Arial" w:hAnsi="Arial"/>
          <w:b/>
          <w:color w:val="2D3748"/>
          <w:sz w:val="21"/>
        </w:rPr>
        <w:t>Medical Documentation:</w:t>
      </w:r>
      <w:r>
        <w:rPr>
          <w:rFonts w:ascii="Arial" w:hAnsi="Arial"/>
          <w:color w:val="2D3748"/>
          <w:sz w:val="21"/>
        </w:rPr>
        <w:t xml:space="preserve"> Sick leave extending beyond 2 consecutive business days requires a valid medical certificate from a licensed practitioner.</w:t>
      </w:r>
    </w:p>
    <w:p>
      <w:pPr>
        <w:pStyle w:val="ListBullet"/>
        <w:spacing w:before="0" w:after="60" w:line="276" w:lineRule="auto"/>
      </w:pPr>
      <w:r>
        <w:rPr>
          <w:rFonts w:ascii="Arial" w:hAnsi="Arial"/>
          <w:b/>
          <w:color w:val="2D3748"/>
          <w:sz w:val="21"/>
        </w:rPr>
        <w:t>Peak Period Restrictions:</w:t>
      </w:r>
      <w:r>
        <w:rPr>
          <w:rFonts w:ascii="Arial" w:hAnsi="Arial"/>
          <w:color w:val="2D3748"/>
          <w:sz w:val="21"/>
        </w:rPr>
        <w:t xml:space="preserve"> Planned absences during critical company project releases or fiscal quarter-ends require approval from Department Heads.</w:t>
      </w:r>
    </w:p>
    <w:p>
      <w:pPr>
        <w:keepNext/>
        <w:spacing w:before="360" w:after="120"/>
      </w:pPr>
      <w:r>
        <w:rPr>
          <w:rFonts w:ascii="Arial" w:hAnsi="Arial"/>
          <w:b/>
          <w:color w:val="1A365D"/>
          <w:sz w:val="32"/>
        </w:rPr>
        <w:t>3. Compensation, Salary Structure &amp; Performance Reviews</w:t>
      </w:r>
    </w:p>
    <w:p>
      <w:pPr>
        <w:keepNext/>
        <w:spacing w:before="240" w:after="80"/>
      </w:pPr>
      <w:r>
        <w:rPr>
          <w:rFonts w:ascii="Arial" w:hAnsi="Arial"/>
          <w:b/>
          <w:color w:val="2B6CB0"/>
          <w:sz w:val="24"/>
        </w:rPr>
        <w:t>3.1 Payroll Cycle &amp; Payment Terms</w:t>
      </w:r>
    </w:p>
    <w:p>
      <w:pPr>
        <w:spacing w:before="0" w:after="120" w:line="276" w:lineRule="auto"/>
      </w:pPr>
      <w:r>
        <w:rPr>
          <w:rFonts w:ascii="Arial" w:hAnsi="Arial"/>
          <w:color w:val="2D3748"/>
          <w:sz w:val="21"/>
        </w:rPr>
        <w:t>Salaries are disbursed monthly on or before the last working day of each calendar month directly to each employee's designated bank account. Payslips are distributed electronically via the HR Payroll Portal on payday.</w:t>
      </w:r>
    </w:p>
    <w:p>
      <w:pPr>
        <w:keepNext/>
        <w:spacing w:before="240" w:after="80"/>
      </w:pPr>
      <w:r>
        <w:rPr>
          <w:rFonts w:ascii="Arial" w:hAnsi="Arial"/>
          <w:b/>
          <w:color w:val="2B6CB0"/>
          <w:sz w:val="24"/>
        </w:rPr>
        <w:t>3.2 Salary Breakdown &amp; Components</w:t>
      </w:r>
    </w:p>
    <w:p>
      <w:pPr>
        <w:pStyle w:val="ListBullet"/>
        <w:spacing w:before="0" w:after="60" w:line="276" w:lineRule="auto"/>
      </w:pPr>
      <w:r>
        <w:rPr>
          <w:rFonts w:ascii="Arial" w:hAnsi="Arial"/>
          <w:b/>
          <w:color w:val="2D3748"/>
          <w:sz w:val="21"/>
        </w:rPr>
        <w:t>Base Salary:</w:t>
      </w:r>
      <w:r>
        <w:rPr>
          <w:rFonts w:ascii="Arial" w:hAnsi="Arial"/>
          <w:color w:val="2D3748"/>
          <w:sz w:val="21"/>
        </w:rPr>
        <w:t xml:space="preserve"> The guaranteed baseline compensation for the designated position.</w:t>
      </w:r>
    </w:p>
    <w:p>
      <w:pPr>
        <w:pStyle w:val="ListBullet"/>
        <w:spacing w:before="0" w:after="60" w:line="276" w:lineRule="auto"/>
      </w:pPr>
      <w:r>
        <w:rPr>
          <w:rFonts w:ascii="Arial" w:hAnsi="Arial"/>
          <w:b/>
          <w:color w:val="2D3748"/>
          <w:sz w:val="21"/>
        </w:rPr>
        <w:t>Allowances:</w:t>
      </w:r>
      <w:r>
        <w:rPr>
          <w:rFonts w:ascii="Arial" w:hAnsi="Arial"/>
          <w:color w:val="2D3748"/>
          <w:sz w:val="21"/>
        </w:rPr>
        <w:t xml:space="preserve"> Allowances structured in accordance with local labor laws and tax regulations (e.g., Housing, Utilities, Transport).</w:t>
      </w:r>
    </w:p>
    <w:p>
      <w:pPr>
        <w:pStyle w:val="ListBullet"/>
        <w:spacing w:before="0" w:after="60" w:line="276" w:lineRule="auto"/>
      </w:pPr>
      <w:r>
        <w:rPr>
          <w:rFonts w:ascii="Arial" w:hAnsi="Arial"/>
          <w:b/>
          <w:color w:val="2D3748"/>
          <w:sz w:val="21"/>
        </w:rPr>
        <w:t>Performance Bonus:</w:t>
      </w:r>
      <w:r>
        <w:rPr>
          <w:rFonts w:ascii="Arial" w:hAnsi="Arial"/>
          <w:color w:val="2D3748"/>
          <w:sz w:val="21"/>
        </w:rPr>
        <w:t xml:space="preserve"> Discretionary annual or quarterly incentives tied directly to personal Key Performance Indicators (KPIs) and business growth.</w:t>
      </w:r>
    </w:p>
    <w:p>
      <w:pPr>
        <w:keepNext/>
        <w:spacing w:before="240" w:after="80"/>
      </w:pPr>
      <w:r>
        <w:rPr>
          <w:rFonts w:ascii="Arial" w:hAnsi="Arial"/>
          <w:b/>
          <w:color w:val="2B6CB0"/>
          <w:sz w:val="24"/>
        </w:rPr>
        <w:t>3.3 Overtime &amp; Compensatory Off</w:t>
      </w:r>
    </w:p>
    <w:p>
      <w:pPr>
        <w:spacing w:before="0" w:after="120" w:line="276" w:lineRule="auto"/>
      </w:pPr>
      <w:r>
        <w:rPr>
          <w:rFonts w:ascii="Arial" w:hAnsi="Arial"/>
          <w:color w:val="2D3748"/>
          <w:sz w:val="21"/>
        </w:rPr>
        <w:t>Eligible non-exempt employees working beyond 40 standard hours per week must receive prior manager authorization. Overtime is compensated at 1.5x standard hourly rates, or through structured Compensatory Time Off (Comp-Off) credits.</w:t>
      </w:r>
    </w:p>
    <w:p>
      <w:pPr>
        <w:keepNext/>
        <w:spacing w:before="240" w:after="80"/>
      </w:pPr>
      <w:r>
        <w:rPr>
          <w:rFonts w:ascii="Arial" w:hAnsi="Arial"/>
          <w:b/>
          <w:color w:val="2B6CB0"/>
          <w:sz w:val="24"/>
        </w:rPr>
        <w:t>3.4 Performance Evaluation Framework</w:t>
      </w:r>
    </w:p>
    <w:p>
      <w:pPr>
        <w:spacing w:before="0" w:after="120" w:line="276" w:lineRule="auto"/>
      </w:pPr>
      <w:r>
        <w:rPr>
          <w:rFonts w:ascii="Arial" w:hAnsi="Arial"/>
          <w:color w:val="2D3748"/>
          <w:sz w:val="21"/>
        </w:rPr>
        <w:t>Performance appraisals take place twice annually (Mid-Year in July and Year-End in December). Increments, promotions, and annual bonuses are evaluated based on metric-driven achievement, leadership potential, and peer alignment.</w:t>
      </w:r>
    </w:p>
    <w:p>
      <w:pPr>
        <w:keepNext/>
        <w:spacing w:before="360" w:after="120"/>
      </w:pPr>
      <w:r>
        <w:rPr>
          <w:rFonts w:ascii="Arial" w:hAnsi="Arial"/>
          <w:b/>
          <w:color w:val="1A365D"/>
          <w:sz w:val="32"/>
        </w:rPr>
        <w:t>4. Work Hours, Hybrid Work &amp; Remote Protocols</w:t>
      </w:r>
    </w:p>
    <w:p>
      <w:pPr>
        <w:keepNext/>
        <w:spacing w:before="240" w:after="80"/>
      </w:pPr>
      <w:r>
        <w:rPr>
          <w:rFonts w:ascii="Arial" w:hAnsi="Arial"/>
          <w:b/>
          <w:color w:val="2B6CB0"/>
          <w:sz w:val="24"/>
        </w:rPr>
        <w:t>4.1 Core Hours &amp; Attendance</w:t>
      </w:r>
    </w:p>
    <w:p>
      <w:pPr>
        <w:spacing w:before="0" w:after="120" w:line="276" w:lineRule="auto"/>
      </w:pPr>
      <w:r>
        <w:rPr>
          <w:rFonts w:ascii="Arial" w:hAnsi="Arial"/>
          <w:color w:val="2D3748"/>
          <w:sz w:val="21"/>
        </w:rPr>
        <w:t>Standard working hours are 9:00 AM to 6:00 PM (Monday through Friday), including a 1-hour lunch break. Core operational hours during which all team members must be reachable are 10:00 AM to 4:00 PM.</w:t>
      </w:r>
    </w:p>
    <w:p>
      <w:pPr>
        <w:keepNext/>
        <w:spacing w:before="240" w:after="80"/>
      </w:pPr>
      <w:r>
        <w:rPr>
          <w:rFonts w:ascii="Arial" w:hAnsi="Arial"/>
          <w:b/>
          <w:color w:val="2B6CB0"/>
          <w:sz w:val="24"/>
        </w:rPr>
        <w:t>4.2 Hybrid Work Guidelines</w:t>
      </w:r>
    </w:p>
    <w:p>
      <w:pPr>
        <w:pStyle w:val="ListBullet"/>
        <w:spacing w:before="0" w:after="60" w:line="276" w:lineRule="auto"/>
      </w:pPr>
      <w:r>
        <w:rPr>
          <w:rFonts w:ascii="Arial" w:hAnsi="Arial"/>
          <w:b/>
          <w:color w:val="2D3748"/>
          <w:sz w:val="21"/>
        </w:rPr>
        <w:t>Flexibility Quota:</w:t>
      </w:r>
      <w:r>
        <w:rPr>
          <w:rFonts w:ascii="Arial" w:hAnsi="Arial"/>
          <w:color w:val="2D3748"/>
          <w:sz w:val="21"/>
        </w:rPr>
        <w:t xml:space="preserve"> Employees may work up to 2 days per week remotely with supervisor consent, provided performance standards are consistently met.</w:t>
      </w:r>
    </w:p>
    <w:p>
      <w:pPr>
        <w:pStyle w:val="ListBullet"/>
        <w:spacing w:before="0" w:after="60" w:line="276" w:lineRule="auto"/>
      </w:pPr>
      <w:r>
        <w:rPr>
          <w:rFonts w:ascii="Arial" w:hAnsi="Arial"/>
          <w:b/>
          <w:color w:val="2D3748"/>
          <w:sz w:val="21"/>
        </w:rPr>
        <w:t>Remote Setup Requirements:</w:t>
      </w:r>
      <w:r>
        <w:rPr>
          <w:rFonts w:ascii="Arial" w:hAnsi="Arial"/>
          <w:color w:val="2D3748"/>
          <w:sz w:val="21"/>
        </w:rPr>
        <w:t xml:space="preserve"> Remote employees must maintain high-speed internet, a distraction-free home workspace, and active presence on company chat channels.</w:t>
      </w:r>
    </w:p>
    <w:p>
      <w:pPr>
        <w:keepNext/>
        <w:spacing w:before="360" w:after="120"/>
      </w:pPr>
      <w:r>
        <w:rPr>
          <w:rFonts w:ascii="Arial" w:hAnsi="Arial"/>
          <w:b/>
          <w:color w:val="1A365D"/>
          <w:sz w:val="32"/>
        </w:rPr>
        <w:t>5. Information Security, IT &amp; Device Usage</w:t>
      </w:r>
    </w:p>
    <w:p>
      <w:pPr>
        <w:keepNext/>
        <w:spacing w:before="240" w:after="80"/>
      </w:pPr>
      <w:r>
        <w:rPr>
          <w:rFonts w:ascii="Arial" w:hAnsi="Arial"/>
          <w:b/>
          <w:color w:val="2B6CB0"/>
          <w:sz w:val="24"/>
        </w:rPr>
        <w:t>5.1 Data Confidentiality &amp; Protection</w:t>
      </w:r>
    </w:p>
    <w:p>
      <w:pPr>
        <w:spacing w:before="0" w:after="120" w:line="276" w:lineRule="auto"/>
      </w:pPr>
      <w:r>
        <w:rPr>
          <w:rFonts w:ascii="Arial" w:hAnsi="Arial"/>
          <w:color w:val="2D3748"/>
          <w:sz w:val="21"/>
        </w:rPr>
        <w:t>All company code bases, customer records, financial figures, and strategic roadmaps are classified as Strictly Confidential. Unauthorized disclosure, sharing, or duplication of proprietary assets will result in legal action and immediate termination.</w:t>
      </w:r>
    </w:p>
    <w:p>
      <w:pPr>
        <w:keepNext/>
        <w:spacing w:before="240" w:after="80"/>
      </w:pPr>
      <w:r>
        <w:rPr>
          <w:rFonts w:ascii="Arial" w:hAnsi="Arial"/>
          <w:b/>
          <w:color w:val="2B6CB0"/>
          <w:sz w:val="24"/>
        </w:rPr>
        <w:t>5.2 IT Acceptable Use &amp; Security Protocols</w:t>
      </w:r>
    </w:p>
    <w:p>
      <w:pPr>
        <w:pStyle w:val="ListBullet"/>
        <w:spacing w:before="0" w:after="60" w:line="276" w:lineRule="auto"/>
      </w:pPr>
      <w:r>
        <w:rPr>
          <w:rFonts w:ascii="Arial" w:hAnsi="Arial"/>
          <w:b/>
          <w:color w:val="2D3748"/>
          <w:sz w:val="21"/>
        </w:rPr>
        <w:t>Authentication:</w:t>
      </w:r>
      <w:r>
        <w:rPr>
          <w:rFonts w:ascii="Arial" w:hAnsi="Arial"/>
          <w:color w:val="2D3748"/>
          <w:sz w:val="21"/>
        </w:rPr>
        <w:t xml:space="preserve"> Multi-Factor Authentication (MFA) must be enabled across all corporate accounts and applications.</w:t>
      </w:r>
    </w:p>
    <w:p>
      <w:pPr>
        <w:pStyle w:val="ListBullet"/>
        <w:spacing w:before="0" w:after="60" w:line="276" w:lineRule="auto"/>
      </w:pPr>
      <w:r>
        <w:rPr>
          <w:rFonts w:ascii="Arial" w:hAnsi="Arial"/>
          <w:b/>
          <w:color w:val="2D3748"/>
          <w:sz w:val="21"/>
        </w:rPr>
        <w:t>Data Storage:</w:t>
      </w:r>
      <w:r>
        <w:rPr>
          <w:rFonts w:ascii="Arial" w:hAnsi="Arial"/>
          <w:color w:val="2D3748"/>
          <w:sz w:val="21"/>
        </w:rPr>
        <w:t xml:space="preserve"> Storing company information on unauthorized personal devices or public cloud drives is strictly prohibited.</w:t>
      </w:r>
    </w:p>
    <w:p>
      <w:pPr>
        <w:pStyle w:val="ListBullet"/>
        <w:spacing w:before="0" w:after="60" w:line="276" w:lineRule="auto"/>
      </w:pPr>
      <w:r>
        <w:rPr>
          <w:rFonts w:ascii="Arial" w:hAnsi="Arial"/>
          <w:b/>
          <w:color w:val="2D3748"/>
          <w:sz w:val="21"/>
        </w:rPr>
        <w:t>Security Training:</w:t>
      </w:r>
      <w:r>
        <w:rPr>
          <w:rFonts w:ascii="Arial" w:hAnsi="Arial"/>
          <w:color w:val="2D3748"/>
          <w:sz w:val="21"/>
        </w:rPr>
        <w:t xml:space="preserve"> Employees must complete mandatory bi-annual cybersecurity training and phishing awareness modules.</w:t>
      </w:r>
    </w:p>
    <w:p>
      <w:pPr>
        <w:keepNext/>
        <w:spacing w:before="360" w:after="120"/>
      </w:pPr>
      <w:r>
        <w:rPr>
          <w:rFonts w:ascii="Arial" w:hAnsi="Arial"/>
          <w:b/>
          <w:color w:val="1A365D"/>
          <w:sz w:val="32"/>
        </w:rPr>
        <w:t>6. Resignation, Offboarding &amp; Termination</w:t>
      </w:r>
    </w:p>
    <w:p>
      <w:pPr>
        <w:keepNext/>
        <w:spacing w:before="240" w:after="80"/>
      </w:pPr>
      <w:r>
        <w:rPr>
          <w:rFonts w:ascii="Arial" w:hAnsi="Arial"/>
          <w:b/>
          <w:color w:val="2B6CB0"/>
          <w:sz w:val="24"/>
        </w:rPr>
        <w:t>6.1 Notice Period Requirements</w:t>
      </w:r>
    </w:p>
    <w:p>
      <w:pPr>
        <w:pStyle w:val="ListBullet"/>
        <w:spacing w:before="0" w:after="60" w:line="276" w:lineRule="auto"/>
      </w:pPr>
      <w:r>
        <w:rPr>
          <w:rFonts w:ascii="Arial" w:hAnsi="Arial"/>
          <w:b/>
          <w:color w:val="2D3748"/>
          <w:sz w:val="21"/>
        </w:rPr>
        <w:t>Standard Staff:</w:t>
      </w:r>
      <w:r>
        <w:rPr>
          <w:rFonts w:ascii="Arial" w:hAnsi="Arial"/>
          <w:color w:val="2D3748"/>
          <w:sz w:val="21"/>
        </w:rPr>
        <w:t xml:space="preserve"> Regular employees must provide 30 calendar days' written notice of resignation to HR and their direct manager.</w:t>
      </w:r>
    </w:p>
    <w:p>
      <w:pPr>
        <w:pStyle w:val="ListBullet"/>
        <w:spacing w:before="0" w:after="60" w:line="276" w:lineRule="auto"/>
      </w:pPr>
      <w:r>
        <w:rPr>
          <w:rFonts w:ascii="Arial" w:hAnsi="Arial"/>
          <w:b/>
          <w:color w:val="2D3748"/>
          <w:sz w:val="21"/>
        </w:rPr>
        <w:t>Leadership Staff:</w:t>
      </w:r>
      <w:r>
        <w:rPr>
          <w:rFonts w:ascii="Arial" w:hAnsi="Arial"/>
          <w:color w:val="2D3748"/>
          <w:sz w:val="21"/>
        </w:rPr>
        <w:t xml:space="preserve"> Executive and Senior Management positions require a minimum 60 days' advance notice period.</w:t>
      </w:r>
    </w:p>
    <w:p>
      <w:pPr>
        <w:keepNext/>
        <w:spacing w:before="240" w:after="80"/>
      </w:pPr>
      <w:r>
        <w:rPr>
          <w:rFonts w:ascii="Arial" w:hAnsi="Arial"/>
          <w:b/>
          <w:color w:val="2B6CB0"/>
          <w:sz w:val="24"/>
        </w:rPr>
        <w:t>6.2 Offboarding Process</w:t>
      </w:r>
    </w:p>
    <w:p>
      <w:pPr>
        <w:spacing w:before="0" w:after="120" w:line="276" w:lineRule="auto"/>
      </w:pPr>
      <w:r>
        <w:rPr>
          <w:rFonts w:ascii="Arial" w:hAnsi="Arial"/>
          <w:color w:val="2D3748"/>
          <w:sz w:val="21"/>
        </w:rPr>
        <w:t>Upon resignation or termination, employees must return all company property (laptops, access cards, credentials, intellectual assets) on or before their final working day. Final settlement including encashment of eligible unused earned leave will be processed within 30 days of offboarding.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