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D0B3" w14:textId="15D49AE7" w:rsidR="00290591" w:rsidRPr="00290591" w:rsidRDefault="00290591" w:rsidP="0029059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90591">
        <w:rPr>
          <w:rFonts w:ascii="Times New Roman" w:hAnsi="Times New Roman" w:cs="Times New Roman"/>
          <w:b/>
          <w:bCs/>
          <w:sz w:val="22"/>
          <w:szCs w:val="22"/>
          <w:lang w:val="en-US"/>
        </w:rPr>
        <w:t>WHAT IS THE PERFORM TRIAL?</w:t>
      </w:r>
    </w:p>
    <w:p w14:paraId="119AE991" w14:textId="77777777" w:rsidR="00290591" w:rsidRDefault="00290591" w:rsidP="002905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2283EDB6" w14:textId="255038AC" w:rsidR="00290591" w:rsidRDefault="00290591" w:rsidP="002905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Cancers that spread in the body often end up in the skeleton, particularly in the hip bones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(proximal femur)</w:t>
      </w:r>
      <w:r>
        <w:rPr>
          <w:rFonts w:ascii="Times New Roman" w:hAnsi="Times New Roman" w:cs="Times New Roman"/>
          <w:sz w:val="22"/>
          <w:szCs w:val="22"/>
          <w:lang w:val="en-US"/>
        </w:rPr>
        <w:t>. Hip bones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that are weakened or broken from cancer have historically been stabilized with hardware (metal nails,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screws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and plates) to avoid or to fix cancer-related fractures. However, cancer treatments continue to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improve, and many patients with cancer in their hip bones are living longer. Although this is a positive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development, patients that have hip stabilizing surgery are now living longer than the hardware was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designed to last and, as a result, these patients are experiencing many more problems in the years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after surgery, including cancer recurrence and hardware breakage. In the meantime, surgeons have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begun to consider removing the entire section of the affected bone and replacing it with a large hip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replacement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(endoprosthetic replacement)</w:t>
      </w:r>
      <w:r>
        <w:rPr>
          <w:rFonts w:ascii="Times New Roman" w:hAnsi="Times New Roman" w:cs="Times New Roman"/>
          <w:sz w:val="22"/>
          <w:szCs w:val="22"/>
          <w:lang w:val="en-US"/>
        </w:rPr>
        <w:t>. This is more complex than the usual surgery, and may have higher risks for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complications, but is less likely to result in problems such as cancer recurrence and hardware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breakage. Research to support a more invasive surgery is very weak as there have yet to be any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clinical trials to determine which surgery is better overall. The </w:t>
      </w:r>
      <w:r w:rsidRPr="00290591">
        <w:rPr>
          <w:rFonts w:ascii="Times New Roman" w:hAnsi="Times New Roman" w:cs="Times New Roman"/>
          <w:b/>
          <w:bCs/>
          <w:sz w:val="22"/>
          <w:szCs w:val="22"/>
          <w:lang w:val="en-US"/>
        </w:rPr>
        <w:t>P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roximal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290591">
        <w:rPr>
          <w:rFonts w:ascii="Times New Roman" w:hAnsi="Times New Roman" w:cs="Times New Roman"/>
          <w:b/>
          <w:bCs/>
          <w:sz w:val="22"/>
          <w:szCs w:val="22"/>
          <w:lang w:val="en-US"/>
        </w:rPr>
        <w:t>E</w:t>
      </w:r>
      <w:r>
        <w:rPr>
          <w:rFonts w:ascii="Times New Roman" w:hAnsi="Times New Roman" w:cs="Times New Roman"/>
          <w:sz w:val="22"/>
          <w:szCs w:val="22"/>
          <w:lang w:val="en-US"/>
        </w:rPr>
        <w:t>mur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90591">
        <w:rPr>
          <w:rFonts w:ascii="Times New Roman" w:hAnsi="Times New Roman" w:cs="Times New Roman"/>
          <w:b/>
          <w:bCs/>
          <w:sz w:val="22"/>
          <w:szCs w:val="22"/>
          <w:lang w:val="en-US"/>
        </w:rPr>
        <w:t>R</w:t>
      </w:r>
      <w:r>
        <w:rPr>
          <w:rFonts w:ascii="Times New Roman" w:hAnsi="Times New Roman" w:cs="Times New Roman"/>
          <w:sz w:val="22"/>
          <w:szCs w:val="22"/>
          <w:lang w:val="en-US"/>
        </w:rPr>
        <w:t>esection or Internal</w:t>
      </w:r>
    </w:p>
    <w:p w14:paraId="1B1D73B3" w14:textId="18474B1D" w:rsidR="00290591" w:rsidRDefault="00290591" w:rsidP="002905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290591">
        <w:rPr>
          <w:rFonts w:ascii="Times New Roman" w:hAnsi="Times New Roman" w:cs="Times New Roman"/>
          <w:b/>
          <w:bCs/>
          <w:sz w:val="22"/>
          <w:szCs w:val="22"/>
          <w:lang w:val="en-US"/>
        </w:rPr>
        <w:t>F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ixation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290591">
        <w:rPr>
          <w:rFonts w:ascii="Times New Roman" w:hAnsi="Times New Roman" w:cs="Times New Roman"/>
          <w:b/>
          <w:bCs/>
          <w:sz w:val="22"/>
          <w:szCs w:val="22"/>
          <w:lang w:val="en-US"/>
        </w:rPr>
        <w:t>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90591">
        <w:rPr>
          <w:rFonts w:ascii="Times New Roman" w:hAnsi="Times New Roman" w:cs="Times New Roman"/>
          <w:b/>
          <w:bCs/>
          <w:sz w:val="22"/>
          <w:szCs w:val="22"/>
          <w:lang w:val="en-US"/>
        </w:rPr>
        <w:t>M</w:t>
      </w:r>
      <w:r>
        <w:rPr>
          <w:rFonts w:ascii="Times New Roman" w:hAnsi="Times New Roman" w:cs="Times New Roman"/>
          <w:sz w:val="22"/>
          <w:szCs w:val="22"/>
          <w:lang w:val="en-US"/>
        </w:rPr>
        <w:t>etastases (PERFORM) trial will assign patients by chance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(randomize)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to 1 of the 2 surgeries. The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patients will be followed for 1 year to see which surgery results in better cancer- and surgery-related, as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well as quality-of-life, outcomes.</w:t>
      </w:r>
    </w:p>
    <w:p w14:paraId="2E055403" w14:textId="77777777" w:rsidR="00290591" w:rsidRDefault="00290591" w:rsidP="002905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02EC92CC" w14:textId="080C0E7B" w:rsidR="00290591" w:rsidRDefault="00290591" w:rsidP="002905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Our Methods Cent</w:t>
      </w:r>
      <w:r>
        <w:rPr>
          <w:rFonts w:ascii="Times New Roman" w:hAnsi="Times New Roman" w:cs="Times New Roman"/>
          <w:sz w:val="22"/>
          <w:szCs w:val="22"/>
          <w:lang w:val="en-US"/>
        </w:rPr>
        <w:t>er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participating clinical sites collectively possess the methodological, logistical</w:t>
      </w:r>
    </w:p>
    <w:p w14:paraId="433882EA" w14:textId="5C95B9FE" w:rsidR="00290591" w:rsidRDefault="00290591" w:rsidP="002905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and clinical expertise required to successfully confirm the feasibility of the PERFORM trial.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Ultimately, this trial has the potential to effect significant changes in orthopaedic oncology clinical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practice and improve the oncologic, functional, and quality of life outcomes of patients with cancers that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have metastasized to their proximal femur. While the introduction of a more invasive yet more durable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procedure would represent a paradigm shift in the approach to this patient population, the challenge we</w:t>
      </w:r>
    </w:p>
    <w:p w14:paraId="09B74A5F" w14:textId="6A0332EE" w:rsidR="00290591" w:rsidRDefault="00290591" w:rsidP="002905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confront is to support this practice change with high-quality, concrete evidence.</w:t>
      </w:r>
    </w:p>
    <w:p w14:paraId="4529A852" w14:textId="7366BE42" w:rsidR="003C20AF" w:rsidRDefault="003C20AF" w:rsidP="00290591"/>
    <w:sectPr w:rsidR="003C2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91"/>
    <w:rsid w:val="00290591"/>
    <w:rsid w:val="003C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BC224"/>
  <w15:chartTrackingRefBased/>
  <w15:docId w15:val="{840D5461-542B-9842-9B01-55FA5CAE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Ghert, Michelle</dc:creator>
  <cp:keywords/>
  <dc:description/>
  <cp:lastModifiedBy>Ghert, Michelle</cp:lastModifiedBy>
  <cp:revision>1</cp:revision>
  <dcterms:created xsi:type="dcterms:W3CDTF">2024-05-10T16:08:00Z</dcterms:created>
  <dcterms:modified xsi:type="dcterms:W3CDTF">2024-05-10T16:15:00Z</dcterms:modified>
</cp:coreProperties>
</file>