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Client Call Prep</w:t>
      </w:r>
    </w:p>
    <w:p>
      <w:pPr>
        <w:spacing w:after="140"/>
      </w:pPr>
      <w:r>
        <w:rPr>
          <w:color w:val="595959"/>
          <w:sz w:val="26"/>
          <w:szCs w:val="26"/>
        </w:rPr>
        <w:t xml:space="preserve">Objection answers, and the path to actually close</w:t>
      </w:r>
    </w:p>
    <w:p>
      <w:pPr>
        <w:pBdr>
          <w:bottom w:val="single" w:color="1F3864" w:sz="8" w:space="8"/>
        </w:pBdr>
        <w:spacing w:after="60"/>
      </w:pPr>
      <w:r>
        <w:rPr>
          <w:color w:val="595959"/>
          <w:sz w:val="18"/>
          <w:szCs w:val="18"/>
        </w:rPr>
        <w:t xml:space="preserve">[Brand]  ·  Friday call  ·  Draft v1 for Josh and Abhi to refine  ·  July 2026</w:t>
      </w:r>
    </w:p>
    <w:p>
      <w:pPr>
        <w:spacing w:after="200"/>
      </w:pPr>
    </w:p>
    <w:p>
      <w:pPr>
        <w:spacing w:after="140" w:before="0" w:line="264"/>
      </w:pPr>
      <w:r>
        <w:rPr>
          <w:b/>
          <w:bCs/>
        </w:rPr>
        <w:t xml:space="preserve">How to use this. </w:t>
      </w:r>
      <w:r>
        <w:t xml:space="preserve">Section 1 is what you say out loud, written the way you would say it. Section 2 is the language that keeps us honest and out of trouble. Section 3 is the mechanics of turning a yes into money in the bank. Section 4 is what has to be true before Friday. Section 5 is a short list of our own inconsistencies to fix before the client trips over them. Everything in brackets is a decision we still owe ourselves.</w:t>
      </w:r>
    </w:p>
    <w:p>
      <w:pPr>
        <w:pStyle w:val="Heading1"/>
        <w:pBdr>
          <w:bottom w:val="single" w:color="D9D9D9" w:sz="6" w:space="6"/>
        </w:pBdr>
        <w:spacing w:after="170" w:before="380"/>
      </w:pPr>
      <w:r>
        <w:rPr>
          <w:b/>
          <w:bCs/>
          <w:color w:val="1F3864"/>
          <w:sz w:val="30"/>
          <w:szCs w:val="30"/>
        </w:rPr>
        <w:t xml:space="preserve">0. The frame for this call</w:t>
      </w:r>
    </w:p>
    <w:p>
      <w:pPr>
        <w:spacing w:after="140" w:before="0" w:line="264"/>
      </w:pPr>
      <w:r>
        <w:rPr>
          <w:b/>
          <w:bCs/>
        </w:rPr>
        <w:t xml:space="preserve">What we are selling. </w:t>
      </w:r>
      <w:r>
        <w:t xml:space="preserve">One engagement, two phases. We build the website, then we measure and work the roadmap on a monthly basis. These are not two products stapled together. The build creates the thing an AI engine can actually retrieve, and the measurement is how anyone finds out whether it worked. Say it as one sentence: we build the asset, then we prove what it did.</w:t>
      </w:r>
    </w:p>
    <w:p>
      <w:pPr>
        <w:spacing w:after="140" w:before="0" w:line="264"/>
      </w:pPr>
      <w:r>
        <w:rPr>
          <w:b/>
          <w:bCs/>
        </w:rPr>
        <w:t xml:space="preserve">Why this client, why now. </w:t>
      </w:r>
      <w:r>
        <w:t xml:space="preserve">They have no website. So the honest answer to "what does AI say about you" today is "nothing, and here is who it names instead." That is the sharpest before-picture we will ever get to show anyone. It is also the reason we lead with the website one-pager and not the AI SEO one. An audit with no site to audit is unsellable, and they would be right to say so.</w:t>
      </w:r>
    </w:p>
    <w:p>
      <w:pPr>
        <w:spacing w:after="140" w:before="0" w:line="264"/>
      </w:pPr>
      <w:r>
        <w:t xml:space="preserve">The three things this call has to land, in order:</w:t>
      </w:r>
    </w:p>
    <w:p>
      <w:pPr>
        <w:pStyle w:val="ListParagraph"/>
        <w:numPr>
          <w:ilvl w:val="0"/>
          <w:numId w:val="1"/>
        </w:numPr>
        <w:spacing w:after="90" w:line="264"/>
      </w:pPr>
      <w:r>
        <w:t xml:space="preserve">There is a shortlist in their category, and they are not on it. The pre-run queries do this. Read the answer verbatim, do not summarise it.</w:t>
      </w:r>
    </w:p>
    <w:p>
      <w:pPr>
        <w:pStyle w:val="ListParagraph"/>
        <w:numPr>
          <w:ilvl w:val="0"/>
          <w:numId w:val="1"/>
        </w:numPr>
        <w:spacing w:after="90" w:line="264"/>
      </w:pPr>
      <w:r>
        <w:t xml:space="preserve">The reason is structural and fixable, not mysterious. There is nothing for an engine to retrieve, and the businesses named instead have pages that answer the exact question their customer asked.</w:t>
      </w:r>
    </w:p>
    <w:p>
      <w:pPr>
        <w:pStyle w:val="ListParagraph"/>
        <w:numPr>
          <w:ilvl w:val="0"/>
          <w:numId w:val="1"/>
        </w:numPr>
        <w:spacing w:after="90" w:line="264"/>
      </w:pPr>
      <w:r>
        <w:t xml:space="preserve">We measure rather than promise, and we will show them the instrument. This is our differentiator and our legal posture at the same time.</w:t>
      </w:r>
    </w:p>
    <w:p>
      <w:pPr>
        <w:spacing w:after="140" w:before="0" w:line="264"/>
      </w:pPr>
      <w:r>
        <w:rPr>
          <w:b/>
          <w:bCs/>
        </w:rPr>
        <w:t xml:space="preserve">Rough shape of 30 minutes: </w:t>
      </w:r>
      <w:r>
        <w:t xml:space="preserve">the finding (5) · the diagnosis (3) · how we build (5) · how we measure (5) · objections (8) · the free quick win (2) · the ask, with a date (2).</w:t>
      </w:r>
    </w:p>
    <w:p>
      <w:pPr>
        <w:spacing w:after="140" w:before="0" w:line="264"/>
      </w:pPr>
      <w:r>
        <w:rPr>
          <w:b/>
          <w:bCs/>
          <w:color w:val="8A5A00"/>
        </w:rPr>
        <w:t xml:space="preserve">One rule for the whole call: </w:t>
      </w:r>
      <w:r>
        <w:t xml:space="preserve">the artifact does the arguing. Every claim gets paired with something concrete on the screen. Where we only have words, we are weakest.</w:t>
      </w:r>
    </w:p>
    <w:p>
      <w:pPr>
        <w:pStyle w:val="Heading1"/>
        <w:pBdr>
          <w:bottom w:val="single" w:color="D9D9D9" w:sz="6" w:space="6"/>
        </w:pBdr>
        <w:spacing w:after="170" w:before="380"/>
      </w:pPr>
      <w:r>
        <w:rPr>
          <w:b/>
          <w:bCs/>
          <w:color w:val="1F3864"/>
          <w:sz w:val="30"/>
          <w:szCs w:val="30"/>
        </w:rPr>
        <w:t xml:space="preserve">1. Objection answers, written out</w:t>
      </w:r>
    </w:p>
    <w:p>
      <w:pPr>
        <w:spacing w:after="140" w:before="0" w:line="264"/>
      </w:pPr>
      <w:r>
        <w:rPr>
          <w:color w:val="595959"/>
          <w:sz w:val="19"/>
          <w:szCs w:val="19"/>
        </w:rPr>
        <w:t xml:space="preserve">Each one has a lead line to open with, the full answer as you would speak it, what to point at, and the trap to avoid. Say the lead line first and then stop for a beat. Most objections are half-questions and the short answer often ends them.</w:t>
      </w:r>
    </w:p>
    <w:p>
      <w:pPr>
        <w:pStyle w:val="Heading2"/>
        <w:spacing w:after="130" w:before="300"/>
      </w:pPr>
      <w:r>
        <w:rPr>
          <w:b/>
          <w:bCs/>
          <w:color w:val="1F3864"/>
          <w:sz w:val="24"/>
          <w:szCs w:val="24"/>
        </w:rPr>
        <w:t xml:space="preserve">The four you asked for</w:t>
      </w:r>
    </w:p>
    <w:p>
      <w:pPr>
        <w:pStyle w:val="Heading3"/>
        <w:spacing w:after="110" w:before="250"/>
      </w:pPr>
      <w:r>
        <w:rPr>
          <w:b/>
          <w:bCs/>
          <w:color w:val="000000"/>
          <w:sz w:val="21"/>
          <w:szCs w:val="21"/>
        </w:rPr>
        <w:t xml:space="preserve">1.1  "How is this different from SEO?"</w:t>
      </w:r>
    </w:p>
    <w:p>
      <w:pPr>
        <w:pBdr>
          <w:left w:val="single" w:color="8A5A00" w:sz="12" w:space="10"/>
        </w:pBdr>
        <w:spacing w:after="150" w:line="264"/>
        <w:ind w:left="220"/>
      </w:pPr>
      <w:r>
        <w:rPr>
          <w:b/>
          <w:bCs/>
          <w:color w:val="8A5A00"/>
          <w:sz w:val="19"/>
          <w:szCs w:val="19"/>
        </w:rPr>
        <w:t xml:space="preserve">Lead with:  </w:t>
      </w:r>
      <w:r>
        <w:rPr>
          <w:i/>
          <w:iCs/>
        </w:rPr>
        <w:t xml:space="preserve">"Most of the fundamentals are the same. What changed is the shape of the answer, and the fact that you cannot see it happen."</w:t>
      </w:r>
    </w:p>
    <w:p>
      <w:pPr>
        <w:spacing w:after="140" w:before="0" w:line="264"/>
      </w:pPr>
      <w:r>
        <w:t xml:space="preserve">A lot of this is SEO fundamentals repackaged, and we will say that plainly, because anyone telling you it is a brand new science is selling you something. Four things genuinely changed.</w:t>
      </w:r>
    </w:p>
    <w:p>
      <w:pPr>
        <w:spacing w:after="140" w:before="0" w:line="264"/>
      </w:pPr>
      <w:r>
        <w:t xml:space="preserve">First, the output. Search gave your customer ten links and let them choose. An AI answer names two or three businesses, and the rest effectively do not exist. Across a 322-market study, AI answers surfaced roughly a third as many distinct businesses as traditional local results did. The winners circle got smaller.</w:t>
      </w:r>
    </w:p>
    <w:p>
      <w:pPr>
        <w:spacing w:after="140" w:before="0" w:line="264"/>
      </w:pPr>
      <w:r>
        <w:t xml:space="preserve">Second, where the answer comes from. Engines lean heavily on third-party sources: directories, review platforms, community threads. So a real share of your visibility is won off your own website, which is not how SEO taught anyone to think.</w:t>
      </w:r>
    </w:p>
    <w:p>
      <w:pPr>
        <w:spacing w:after="140" w:before="0" w:line="264"/>
      </w:pPr>
      <w:r>
        <w:t xml:space="preserve">Third, you cannot watch it happen. There is no rank to check, every person gets a slightly different answer, and nobody screenshots the AI that did not mention them. That is exactly why measurement is the product here and not a bonus feature.</w:t>
      </w:r>
    </w:p>
    <w:p>
      <w:pPr>
        <w:spacing w:after="140" w:before="0" w:line="264"/>
      </w:pPr>
      <w:r>
        <w:t xml:space="preserve">Fourth, and this one is genuinely new: the engine can name you and be wrong about you. Wrong services, wrong hours, wrong prices, confused with a competitor. SEO never had that failure mode. We catch it because we grade every answer against a fact sheet you approve.</w:t>
      </w:r>
    </w:p>
    <w:p>
      <w:pPr>
        <w:spacing w:after="110" w:before="0" w:line="264"/>
      </w:pPr>
      <w:r>
        <w:rPr>
          <w:b/>
          <w:bCs/>
          <w:color w:val="8A5A00"/>
        </w:rPr>
        <w:t xml:space="preserve">Point at: </w:t>
      </w:r>
      <w:r>
        <w:t xml:space="preserve">the pre-run queries, and the list of sources the engines cited when answering them.</w:t>
      </w:r>
    </w:p>
    <w:p>
      <w:pPr>
        <w:spacing w:after="110" w:before="0" w:line="264"/>
      </w:pPr>
      <w:r>
        <w:rPr>
          <w:b/>
          <w:bCs/>
          <w:color w:val="8A5A00"/>
        </w:rPr>
        <w:t xml:space="preserve">Do not say: </w:t>
      </w:r>
      <w:r>
        <w:t xml:space="preserve">"SEO is dead." It is not, they may already be paying someone for it, and it makes us sound like the guy with the new religion.</w:t>
      </w:r>
    </w:p>
    <w:p>
      <w:pPr>
        <w:spacing w:after="110" w:before="0" w:line="264"/>
      </w:pPr>
      <w:r>
        <w:rPr>
          <w:b/>
          <w:bCs/>
          <w:color w:val="8A5A00"/>
        </w:rPr>
        <w:t xml:space="preserve">If they push ("so my SEO person can do this"): </w:t>
      </w:r>
      <w:r>
        <w:t xml:space="preserve">A lot of it, yes. What they cannot do is tell you whether it worked. That takes running the same questions repeatedly across five engines and grading every answer the same way, which is an instrument, not a task. We are happy to work alongside them and hand them the fix list.</w:t>
      </w:r>
    </w:p>
    <w:p>
      <w:pPr>
        <w:pStyle w:val="Heading3"/>
        <w:spacing w:after="110" w:before="250"/>
      </w:pPr>
      <w:r>
        <w:rPr>
          <w:b/>
          <w:bCs/>
          <w:color w:val="000000"/>
          <w:sz w:val="21"/>
          <w:szCs w:val="21"/>
        </w:rPr>
        <w:t xml:space="preserve">1.2  "How do you know your measurements are real?"</w:t>
      </w:r>
    </w:p>
    <w:p>
      <w:pPr>
        <w:pBdr>
          <w:left w:val="single" w:color="8A5A00" w:sz="12" w:space="10"/>
        </w:pBdr>
        <w:spacing w:after="150" w:line="264"/>
        <w:ind w:left="220"/>
      </w:pPr>
      <w:r>
        <w:rPr>
          <w:b/>
          <w:bCs/>
          <w:color w:val="8A5A00"/>
          <w:sz w:val="19"/>
          <w:szCs w:val="19"/>
        </w:rPr>
        <w:t xml:space="preserve">Lead with:  </w:t>
      </w:r>
      <w:r>
        <w:rPr>
          <w:i/>
          <w:iCs/>
        </w:rPr>
        <w:t xml:space="preserve">"Because you can inspect every step of it, and we hand you the raw data."</w:t>
      </w:r>
    </w:p>
    <w:p>
      <w:pPr>
        <w:spacing w:after="140" w:before="0" w:line="264"/>
      </w:pPr>
      <w:r>
        <w:t xml:space="preserve">Five things make this a measurement instead of a screenshot.</w:t>
      </w:r>
    </w:p>
    <w:p>
      <w:pPr>
        <w:pStyle w:val="ListParagraph"/>
        <w:numPr>
          <w:ilvl w:val="0"/>
          <w:numId w:val="1"/>
        </w:numPr>
        <w:spacing w:after="90" w:line="264"/>
      </w:pPr>
      <w:r>
        <w:rPr>
          <w:b/>
          <w:bCs/>
        </w:rPr>
        <w:t xml:space="preserve">The questions are fixed. </w:t>
      </w:r>
      <w:r>
        <w:t xml:space="preserve">We write a set of real customer questions, version it, date-stamp it and lock it. A before-and-after only means anything if the instrument did not move in between.</w:t>
      </w:r>
    </w:p>
    <w:p>
      <w:pPr>
        <w:pStyle w:val="ListParagraph"/>
        <w:numPr>
          <w:ilvl w:val="0"/>
          <w:numId w:val="1"/>
        </w:numPr>
        <w:spacing w:after="90" w:line="264"/>
      </w:pPr>
      <w:r>
        <w:rPr>
          <w:b/>
          <w:bCs/>
        </w:rPr>
        <w:t xml:space="preserve">We run each question many times per engine, never once. </w:t>
      </w:r>
      <w:r>
        <w:t xml:space="preserve">AI answers change run to run. Same question, same day, materially different answer. So we report rates. "Named in 4 of 5 runs," never "you rank third."</w:t>
      </w:r>
    </w:p>
    <w:p>
      <w:pPr>
        <w:pStyle w:val="ListParagraph"/>
        <w:numPr>
          <w:ilvl w:val="0"/>
          <w:numId w:val="1"/>
        </w:numPr>
        <w:spacing w:after="90" w:line="264"/>
      </w:pPr>
      <w:r>
        <w:rPr>
          <w:b/>
          <w:bCs/>
        </w:rPr>
        <w:t xml:space="preserve">Every answer is graded by rules, not by vibes. </w:t>
      </w:r>
      <w:r>
        <w:t xml:space="preserve">We measure things off the text first: where you appear, how much of the answer is actually about you, whether the language elevates you or puts you down. Those measurements decide the label. Same answer in, same label out, every time.</w:t>
      </w:r>
    </w:p>
    <w:p>
      <w:pPr>
        <w:pStyle w:val="ListParagraph"/>
        <w:numPr>
          <w:ilvl w:val="0"/>
          <w:numId w:val="1"/>
        </w:numPr>
        <w:spacing w:after="90" w:line="264"/>
      </w:pPr>
      <w:r>
        <w:rPr>
          <w:b/>
          <w:bCs/>
        </w:rPr>
        <w:t xml:space="preserve">The grader has to show its work. </w:t>
      </w:r>
      <w:r>
        <w:t xml:space="preserve">It cannot say you were mentioned without quoting the sentence. It cannot flag an inaccuracy without quoting the claim and pointing at the line in your fact sheet it contradicts.</w:t>
      </w:r>
    </w:p>
    <w:p>
      <w:pPr>
        <w:pStyle w:val="ListParagraph"/>
        <w:numPr>
          <w:ilvl w:val="0"/>
          <w:numId w:val="1"/>
        </w:numPr>
        <w:spacing w:after="90" w:line="264"/>
      </w:pPr>
      <w:r>
        <w:rPr>
          <w:b/>
          <w:bCs/>
        </w:rPr>
        <w:t xml:space="preserve">We check the grader against humans. </w:t>
      </w:r>
      <w:r>
        <w:t xml:space="preserve">We hand-labeled a set of answers ourselves and score the automated grader against that answer key. We also re-run the grader on the same answer several times to see whether it agrees with itself. When it does not, that item gets flagged for a human instead of quietly averaged into your number.</w:t>
      </w:r>
    </w:p>
    <w:p>
      <w:pPr>
        <w:spacing w:after="140" w:before="0" w:line="264"/>
      </w:pPr>
      <w:r>
        <w:t xml:space="preserve">And then you get the raw per-question, per-engine results, not just the summary. If you want to check us, you can. That is the whole posture.</w:t>
      </w:r>
    </w:p>
    <w:p>
      <w:pPr>
        <w:spacing w:after="110" w:before="0" w:line="264"/>
      </w:pPr>
      <w:r>
        <w:rPr>
          <w:b/>
          <w:bCs/>
          <w:color w:val="8A5A00"/>
        </w:rPr>
        <w:t xml:space="preserve">Point at: </w:t>
      </w:r>
      <w:r>
        <w:t xml:space="preserve">the locked query set, the fact sheet template, and one raw result row on screen.</w:t>
      </w:r>
    </w:p>
    <w:p>
      <w:pPr>
        <w:spacing w:after="110" w:before="0" w:line="264"/>
      </w:pPr>
      <w:r>
        <w:rPr>
          <w:b/>
          <w:bCs/>
          <w:color w:val="8A5A00"/>
        </w:rPr>
        <w:t xml:space="preserve">Do not say: </w:t>
      </w:r>
      <w:r>
        <w:t xml:space="preserve">a specific agreement percentage for their category. Our calibration numbers were measured on a different kind of business. Say "we score our grader against a human answer key" and stop there.</w:t>
      </w:r>
    </w:p>
    <w:p>
      <w:pPr>
        <w:spacing w:after="110" w:before="0" w:line="264"/>
      </w:pPr>
      <w:r>
        <w:rPr>
          <w:b/>
          <w:bCs/>
          <w:color w:val="8A5A00"/>
        </w:rPr>
        <w:t xml:space="preserve">Also: </w:t>
      </w:r>
      <w:r>
        <w:t xml:space="preserve">no letter grades in this client's deliverables until we recalibrate on their kind of answers. Mention and presence rates only.</w:t>
      </w:r>
    </w:p>
    <w:p>
      <w:pPr>
        <w:spacing w:after="110" w:before="0" w:line="264"/>
      </w:pPr>
      <w:r>
        <w:rPr>
          <w:b/>
          <w:bCs/>
          <w:color w:val="8A5A00"/>
        </w:rPr>
        <w:t xml:space="preserve">If they push ("who audits you?"): </w:t>
      </w:r>
      <w:r>
        <w:t xml:space="preserve">Nobody, which is precisely why we publish our own audit of our own website and hand over the raw data. That is the closest thing to an audit trail anyone in this market is offering right now.</w:t>
      </w:r>
    </w:p>
    <w:p>
      <w:pPr>
        <w:pStyle w:val="Heading3"/>
        <w:spacing w:after="110" w:before="250"/>
      </w:pPr>
      <w:r>
        <w:rPr>
          <w:b/>
          <w:bCs/>
          <w:color w:val="000000"/>
          <w:sz w:val="21"/>
          <w:szCs w:val="21"/>
        </w:rPr>
        <w:t xml:space="preserve">1.3  "How long until we see results?"</w:t>
      </w:r>
    </w:p>
    <w:p>
      <w:pPr>
        <w:pBdr>
          <w:left w:val="single" w:color="8A5A00" w:sz="12" w:space="10"/>
        </w:pBdr>
        <w:spacing w:after="150" w:line="264"/>
        <w:ind w:left="220"/>
      </w:pPr>
      <w:r>
        <w:rPr>
          <w:b/>
          <w:bCs/>
          <w:color w:val="8A5A00"/>
          <w:sz w:val="19"/>
          <w:szCs w:val="19"/>
        </w:rPr>
        <w:t xml:space="preserve">Lead with:  </w:t>
      </w:r>
      <w:r>
        <w:rPr>
          <w:i/>
          <w:iCs/>
        </w:rPr>
        <w:t xml:space="preserve">"Weeks to months, and it depends which fix. I would rather tell you which parts are fast and which are slow than give you one number I cannot stand behind."</w:t>
      </w:r>
    </w:p>
    <w:p>
      <w:pPr>
        <w:spacing w:after="140" w:before="0" w:line="264"/>
      </w:pPr>
      <w:r>
        <w:t xml:space="preserve">There are three speeds and they are not close to each other.</w:t>
      </w:r>
    </w:p>
    <w:p>
      <w:pPr>
        <w:pStyle w:val="ListParagraph"/>
        <w:numPr>
          <w:ilvl w:val="0"/>
          <w:numId w:val="1"/>
        </w:numPr>
        <w:spacing w:after="90" w:line="264"/>
      </w:pPr>
      <w:r>
        <w:rPr>
          <w:b/>
          <w:bCs/>
        </w:rPr>
        <w:t xml:space="preserve">Fast, days to a few weeks. </w:t>
      </w:r>
      <w:r>
        <w:t xml:space="preserve">Things that are currently impossible become possible. You have no website right now, so there is literally nothing for an engine to retrieve about you. Same for the technical layer, whether crawlers can reach you at all. We control that part completely.</w:t>
      </w:r>
    </w:p>
    <w:p>
      <w:pPr>
        <w:pStyle w:val="ListParagraph"/>
        <w:numPr>
          <w:ilvl w:val="0"/>
          <w:numId w:val="1"/>
        </w:numPr>
        <w:spacing w:after="90" w:line="264"/>
      </w:pPr>
      <w:r>
        <w:rPr>
          <w:b/>
          <w:bCs/>
        </w:rPr>
        <w:t xml:space="preserve">Medium, roughly one to three months. </w:t>
      </w:r>
      <w:r>
        <w:t xml:space="preserve">Content that answers your customers real questions has to exist, get crawled, and start getting pulled into answers.</w:t>
      </w:r>
    </w:p>
    <w:p>
      <w:pPr>
        <w:pStyle w:val="ListParagraph"/>
        <w:numPr>
          <w:ilvl w:val="0"/>
          <w:numId w:val="1"/>
        </w:numPr>
        <w:spacing w:after="90" w:line="264"/>
      </w:pPr>
      <w:r>
        <w:rPr>
          <w:b/>
          <w:bCs/>
        </w:rPr>
        <w:t xml:space="preserve">Slow, three months and out, and only partly ours. </w:t>
      </w:r>
      <w:r>
        <w:t xml:space="preserve">The third-party layer: directories, review platforms, community threads, comparison pages. A lot of the citation weight lives there. We can influence it. We cannot switch it on.</w:t>
      </w:r>
    </w:p>
    <w:p>
      <w:pPr>
        <w:spacing w:after="140" w:before="0" w:line="264"/>
      </w:pPr>
      <w:r>
        <w:t xml:space="preserve">Here is how we handle that honestly. We take a baseline before your site exists, we re-measure 30 days after launch, and again at 90. The 30-day read is a check that the instrument sees the change. The 90-day read is the real one.</w:t>
      </w:r>
    </w:p>
    <w:p>
      <w:pPr>
        <w:spacing w:after="110" w:before="0" w:line="264"/>
      </w:pPr>
      <w:r>
        <w:rPr>
          <w:b/>
          <w:bCs/>
          <w:color w:val="8A5A00"/>
        </w:rPr>
        <w:t xml:space="preserve">Point at: </w:t>
      </w:r>
      <w:r>
        <w:t xml:space="preserve">the re-measure cadence, and the date stamp on the pre-launch baseline.</w:t>
      </w:r>
    </w:p>
    <w:p>
      <w:pPr>
        <w:spacing w:after="110" w:before="0" w:line="264"/>
      </w:pPr>
      <w:r>
        <w:rPr>
          <w:b/>
          <w:bCs/>
          <w:color w:val="8A5A00"/>
        </w:rPr>
        <w:t xml:space="preserve">Do not say: </w:t>
      </w:r>
      <w:r>
        <w:t xml:space="preserve">"you will start seeing results in 30 days." Rate of change is not ours to promise, and that sentence is the one that ends up in a complaint.</w:t>
      </w:r>
    </w:p>
    <w:p>
      <w:pPr>
        <w:pStyle w:val="Heading3"/>
        <w:spacing w:after="110" w:before="250"/>
      </w:pPr>
      <w:r>
        <w:rPr>
          <w:b/>
          <w:bCs/>
          <w:color w:val="000000"/>
          <w:sz w:val="21"/>
          <w:szCs w:val="21"/>
        </w:rPr>
        <w:t xml:space="preserve">1.4  "Can you guarantee placement?"</w:t>
      </w:r>
    </w:p>
    <w:p>
      <w:pPr>
        <w:pBdr>
          <w:left w:val="single" w:color="8A5A00" w:sz="12" w:space="10"/>
        </w:pBdr>
        <w:spacing w:after="150" w:line="264"/>
        <w:ind w:left="220"/>
      </w:pPr>
      <w:r>
        <w:rPr>
          <w:b/>
          <w:bCs/>
          <w:color w:val="8A5A00"/>
          <w:sz w:val="19"/>
          <w:szCs w:val="19"/>
        </w:rPr>
        <w:t xml:space="preserve">Lead with:  </w:t>
      </w:r>
      <w:r>
        <w:rPr>
          <w:i/>
          <w:iCs/>
        </w:rPr>
        <w:t xml:space="preserve">"No. Nobody can, and the people who say they can are the reason you should be careful in this market."</w:t>
      </w:r>
    </w:p>
    <w:p>
      <w:pPr>
        <w:spacing w:after="140" w:before="0" w:line="264"/>
      </w:pPr>
      <w:r>
        <w:t xml:space="preserve">Three reasons, and I would rather give you all three than dress one up.</w:t>
      </w:r>
    </w:p>
    <w:p>
      <w:pPr>
        <w:spacing w:after="140" w:before="0" w:line="264"/>
      </w:pPr>
      <w:r>
        <w:t xml:space="preserve">One, we do not control the engine. Nobody outside OpenAI or Google does. Two, these systems are genuinely unstable. Repeat the same query and the large majority of the sources behind the answer change. Anyone selling you a number one spot is selling you a snapshot of noise. Three, the FTC has already brought actions against companies making AI performance claims to small businesses. We are not going to be one of them, and our agreement will say in writing that we do not guarantee results.</w:t>
      </w:r>
    </w:p>
    <w:p>
      <w:pPr>
        <w:spacing w:after="140" w:before="0" w:line="264"/>
      </w:pPr>
      <w:r>
        <w:t xml:space="preserve">What we do commit to: the work gets done and you can see it. We measure on a fixed cadence with the same instrument. You get the raw data. And you own all of it, the site, the code, the accounts, the numbers, whether or not you keep working with us.</w:t>
      </w:r>
    </w:p>
    <w:p>
      <w:pPr>
        <w:spacing w:after="110" w:before="0" w:line="264"/>
      </w:pPr>
      <w:r>
        <w:rPr>
          <w:b/>
          <w:bCs/>
          <w:color w:val="8A5A00"/>
        </w:rPr>
        <w:t xml:space="preserve">Point at: </w:t>
      </w:r>
      <w:r>
        <w:t xml:space="preserve">the honesty block on our site, and the no-guarantee clause in the agreement. Showing them the clause is stronger than saying the sentence.</w:t>
      </w:r>
    </w:p>
    <w:p>
      <w:pPr>
        <w:spacing w:after="110" w:before="0" w:line="264"/>
      </w:pPr>
      <w:r>
        <w:rPr>
          <w:b/>
          <w:bCs/>
          <w:color w:val="8A5A00"/>
        </w:rPr>
        <w:t xml:space="preserve">Do not say: </w:t>
      </w:r>
      <w:r>
        <w:t xml:space="preserve">any softened version. "We cannot guarantee it, but our clients typically see..." We have no client base to typically anything yet, and the softened version is the version that gets quoted back at us.</w:t>
      </w:r>
    </w:p>
    <w:p>
      <w:pPr>
        <w:spacing w:after="110" w:before="0" w:line="264"/>
      </w:pPr>
      <w:r>
        <w:rPr>
          <w:b/>
          <w:bCs/>
          <w:color w:val="8A5A00"/>
        </w:rPr>
        <w:t xml:space="preserve">Worth adding: </w:t>
      </w:r>
      <w:r>
        <w:t xml:space="preserve">this objection is the one place our honesty is a closing tool. Most of what they have been pitched promises rankings. Being the only people in the room who said no is memorable.</w:t>
      </w:r>
    </w:p>
    <w:p>
      <w:pPr>
        <w:pStyle w:val="Heading2"/>
        <w:spacing w:after="130" w:before="300"/>
      </w:pPr>
      <w:r>
        <w:rPr>
          <w:b/>
          <w:bCs/>
          <w:color w:val="1F3864"/>
          <w:sz w:val="24"/>
          <w:szCs w:val="24"/>
        </w:rPr>
        <w:t xml:space="preserve">The ones this deal shape will actually surface</w:t>
      </w:r>
    </w:p>
    <w:p>
      <w:pPr>
        <w:pStyle w:val="Heading3"/>
        <w:spacing w:after="110" w:before="250"/>
      </w:pPr>
      <w:r>
        <w:rPr>
          <w:b/>
          <w:bCs/>
          <w:color w:val="000000"/>
          <w:sz w:val="21"/>
          <w:szCs w:val="21"/>
        </w:rPr>
        <w:t xml:space="preserve">1.5  "Do I really need a whole website? I have Instagram and a Google listing."</w:t>
      </w:r>
    </w:p>
    <w:p>
      <w:pPr>
        <w:pBdr>
          <w:left w:val="single" w:color="8A5A00" w:sz="12" w:space="10"/>
        </w:pBdr>
        <w:spacing w:after="150" w:line="264"/>
        <w:ind w:left="220"/>
      </w:pPr>
      <w:r>
        <w:rPr>
          <w:b/>
          <w:bCs/>
          <w:color w:val="8A5A00"/>
          <w:sz w:val="19"/>
          <w:szCs w:val="19"/>
        </w:rPr>
        <w:t xml:space="preserve">Lead with:  </w:t>
      </w:r>
      <w:r>
        <w:rPr>
          <w:i/>
          <w:iCs/>
        </w:rPr>
        <w:t xml:space="preserve">"An engine can only recommend something it can read, and a social profile mostly is not readable."</w:t>
      </w:r>
    </w:p>
    <w:p>
      <w:pPr>
        <w:spacing w:after="140" w:before="0" w:line="264"/>
      </w:pPr>
      <w:r>
        <w:t xml:space="preserve">When an engine builds an answer it pulls from pages it can fetch and text it can extract. A social profile is largely closed to that. A directory listing gives it your name and location but nothing about what you actually do, who you are for, or why you rather than the other one. Right now the businesses being named instead of you have pages that answer the exact question your customer asked.</w:t>
      </w:r>
    </w:p>
    <w:p>
      <w:pPr>
        <w:spacing w:after="140" w:before="0" w:line="264"/>
      </w:pPr>
      <w:r>
        <w:t xml:space="preserve">So the site is not a brochure in this plan. It is the retrievable asset, and it happens to be the only part of this entire system that you own outright.</w:t>
      </w:r>
    </w:p>
    <w:p>
      <w:pPr>
        <w:spacing w:after="110" w:before="0" w:line="264"/>
      </w:pPr>
      <w:r>
        <w:rPr>
          <w:b/>
          <w:bCs/>
          <w:color w:val="8A5A00"/>
        </w:rPr>
        <w:t xml:space="preserve">Point at: </w:t>
      </w:r>
      <w:r>
        <w:t xml:space="preserve">the specific competitor page that got cited in the answer they just watched.</w:t>
      </w:r>
    </w:p>
    <w:p>
      <w:pPr>
        <w:pStyle w:val="Heading3"/>
        <w:spacing w:after="110" w:before="250"/>
      </w:pPr>
      <w:r>
        <w:rPr>
          <w:b/>
          <w:bCs/>
          <w:color w:val="000000"/>
          <w:sz w:val="21"/>
          <w:szCs w:val="21"/>
        </w:rPr>
        <w:t xml:space="preserve">1.6  "Why is it monthly? Isn't this a one-time fix?"</w:t>
      </w:r>
    </w:p>
    <w:p>
      <w:pPr>
        <w:pBdr>
          <w:left w:val="single" w:color="8A5A00" w:sz="12" w:space="10"/>
        </w:pBdr>
        <w:spacing w:after="150" w:line="264"/>
        <w:ind w:left="220"/>
      </w:pPr>
      <w:r>
        <w:rPr>
          <w:b/>
          <w:bCs/>
          <w:color w:val="8A5A00"/>
          <w:sz w:val="19"/>
          <w:szCs w:val="19"/>
        </w:rPr>
        <w:t xml:space="preserve">Lead with:  </w:t>
      </w:r>
      <w:r>
        <w:rPr>
          <w:i/>
          <w:iCs/>
        </w:rPr>
        <w:t xml:space="preserve">"The build is one-time. The answers are not."</w:t>
      </w:r>
    </w:p>
    <w:p>
      <w:pPr>
        <w:spacing w:after="140" w:before="0" w:line="264"/>
      </w:pPr>
      <w:r>
        <w:t xml:space="preserve">If AI answers were stable we would build the site, hand you a checklist and go away. They are not. Engines change how they answer. Competitors keep publishing. Review platforms shift. Google keeps changing how often it even shows an AI answer at all. A one-time report tells you where you stood on a Tuesday.</w:t>
      </w:r>
    </w:p>
    <w:p>
      <w:pPr>
        <w:spacing w:after="140" w:before="0" w:line="264"/>
      </w:pPr>
      <w:r>
        <w:t xml:space="preserve">The monthly is two things. We do the work on the roadmap, on your site and off it. And we re-run the identical measurement so you can see what each change did. If we ever cannot show you movement, or a straight explanation for the lack of it, you should stop paying us.</w:t>
      </w:r>
    </w:p>
    <w:p>
      <w:pPr>
        <w:spacing w:after="110" w:before="0" w:line="264"/>
      </w:pPr>
      <w:r>
        <w:rPr>
          <w:b/>
          <w:bCs/>
          <w:color w:val="8A5A00"/>
        </w:rPr>
        <w:t xml:space="preserve">Founder call: </w:t>
      </w:r>
      <w:r>
        <w:t xml:space="preserve">only say that last sentence if we will honour it. It is a strong line and it is a commitment.</w:t>
      </w:r>
    </w:p>
    <w:p>
      <w:pPr>
        <w:pStyle w:val="Heading3"/>
        <w:spacing w:after="110" w:before="250"/>
      </w:pPr>
      <w:r>
        <w:rPr>
          <w:b/>
          <w:bCs/>
          <w:color w:val="000000"/>
          <w:sz w:val="21"/>
          <w:szCs w:val="21"/>
        </w:rPr>
        <w:t xml:space="preserve">1.7  "Could I just do this myself? Or ask ChatGPT how to show up in ChatGPT?"</w:t>
      </w:r>
    </w:p>
    <w:p>
      <w:pPr>
        <w:pBdr>
          <w:left w:val="single" w:color="8A5A00" w:sz="12" w:space="10"/>
        </w:pBdr>
        <w:spacing w:after="150" w:line="264"/>
        <w:ind w:left="220"/>
      </w:pPr>
      <w:r>
        <w:rPr>
          <w:b/>
          <w:bCs/>
          <w:color w:val="8A5A00"/>
          <w:sz w:val="19"/>
          <w:szCs w:val="19"/>
        </w:rPr>
        <w:t xml:space="preserve">Lead with:  </w:t>
      </w:r>
      <w:r>
        <w:rPr>
          <w:i/>
          <w:iCs/>
        </w:rPr>
        <w:t xml:space="preserve">"You can do some of it, and I will hand you one piece today for free. What you cannot do alone is know whether it worked."</w:t>
      </w:r>
    </w:p>
    <w:p>
      <w:pPr>
        <w:spacing w:after="140" w:before="0" w:line="264"/>
      </w:pPr>
      <w:r>
        <w:t xml:space="preserve">Genuinely, parts of this are do-it-yourself. Claim your listings. Keep your name and description identical everywhere it appears. Answer the questions customers actually ask, on real pages. We will give you one of those today regardless of what you decide.</w:t>
      </w:r>
    </w:p>
    <w:p>
      <w:pPr>
        <w:spacing w:after="140" w:before="0" w:line="264"/>
      </w:pPr>
      <w:r>
        <w:t xml:space="preserve">What does not work solo is the measurement. You would need to run dozens of questions across five engines, several times each, on a schedule, grade every answer consistently, and then do the identical thing again in 90 days with the instrument unchanged. And asking ChatGPT how to rank in ChatGPT gets you a plausible-sounding list with no way to tell which items on it are real. Half of that list is things we have specifically tested and found do nothing. That is the part we built.</w:t>
      </w:r>
    </w:p>
    <w:p>
      <w:pPr>
        <w:pStyle w:val="Heading3"/>
        <w:spacing w:after="110" w:before="250"/>
      </w:pPr>
      <w:r>
        <w:rPr>
          <w:b/>
          <w:bCs/>
          <w:color w:val="000000"/>
          <w:sz w:val="21"/>
          <w:szCs w:val="21"/>
        </w:rPr>
        <w:t xml:space="preserve">1.8  "You are two people. Who else have you done this for?"</w:t>
      </w:r>
    </w:p>
    <w:p>
      <w:pPr>
        <w:pBdr>
          <w:left w:val="single" w:color="8A5A00" w:sz="12" w:space="10"/>
        </w:pBdr>
        <w:spacing w:after="150" w:line="264"/>
        <w:ind w:left="220"/>
      </w:pPr>
      <w:r>
        <w:rPr>
          <w:b/>
          <w:bCs/>
          <w:color w:val="8A5A00"/>
          <w:sz w:val="19"/>
          <w:szCs w:val="19"/>
        </w:rPr>
        <w:t xml:space="preserve">Lead with:  </w:t>
      </w:r>
      <w:r>
        <w:rPr>
          <w:i/>
          <w:iCs/>
        </w:rPr>
        <w:t xml:space="preserve">"We are early, and you should hear that from me rather than find it out. Here is what you get because of it."</w:t>
      </w:r>
    </w:p>
    <w:p>
      <w:pPr>
        <w:spacing w:after="140" w:before="0" w:line="264"/>
      </w:pPr>
      <w:r>
        <w:t xml:space="preserve">Two of us in Berkeley. Abhi built the measurement platform. I work every account directly. You will never get handed to a junior, because there is not one. We built the tooling first and the client list second, which is backwards for an agency and exactly right for a measurement product. We ran the whole thing on ourselves before we sold it to anyone, and our own audit of our own site is published on our website, scores and all. Nobody else in this market publishes their own report card.</w:t>
      </w:r>
    </w:p>
    <w:p>
      <w:pPr>
        <w:spacing w:after="140" w:before="0" w:line="264"/>
      </w:pPr>
      <w:r>
        <w:rPr>
          <w:b/>
          <w:bCs/>
          <w:color w:val="8A5A00"/>
        </w:rPr>
        <w:t xml:space="preserve">If we are offering pilot terms: </w:t>
      </w:r>
      <w:r>
        <w:t xml:space="preserve">I will be straight with you. We want this one as a documented case study, and the price reflects that. In exchange we would ask for a testimonial and permission to publish the before-and-after numbers, with anything sensitive removed and your approval on the final version.</w:t>
      </w:r>
    </w:p>
    <w:p>
      <w:pPr>
        <w:spacing w:after="110" w:before="0" w:line="264"/>
      </w:pPr>
      <w:r>
        <w:rPr>
          <w:b/>
          <w:bCs/>
          <w:color w:val="8A5A00"/>
        </w:rPr>
        <w:t xml:space="preserve">Point at: </w:t>
      </w:r>
      <w:r>
        <w:t xml:space="preserve">our own audit page. It is the single most differentiating thing we have.</w:t>
      </w:r>
    </w:p>
    <w:p>
      <w:pPr>
        <w:spacing w:after="110" w:before="0" w:line="264"/>
      </w:pPr>
      <w:r>
        <w:rPr>
          <w:b/>
          <w:bCs/>
          <w:color w:val="8A5A00"/>
        </w:rPr>
        <w:t xml:space="preserve">Do not say: </w:t>
      </w:r>
      <w:r>
        <w:t xml:space="preserve">invented client counts, borrowed logos, or "we work with a number of businesses in your space." One false claim here loses the deal and it is the exact behaviour we are accusing our competitors of.</w:t>
      </w:r>
    </w:p>
    <w:p>
      <w:pPr>
        <w:pStyle w:val="Heading3"/>
        <w:spacing w:after="110" w:before="250"/>
      </w:pPr>
      <w:r>
        <w:rPr>
          <w:b/>
          <w:bCs/>
          <w:color w:val="000000"/>
          <w:sz w:val="21"/>
          <w:szCs w:val="21"/>
        </w:rPr>
        <w:t xml:space="preserve">1.9  "What if this whole AI thing changes? What if Google drops AI answers?"</w:t>
      </w:r>
    </w:p>
    <w:p>
      <w:pPr>
        <w:pBdr>
          <w:left w:val="single" w:color="8A5A00" w:sz="12" w:space="10"/>
        </w:pBdr>
        <w:spacing w:after="150" w:line="264"/>
        <w:ind w:left="220"/>
      </w:pPr>
      <w:r>
        <w:rPr>
          <w:b/>
          <w:bCs/>
          <w:color w:val="8A5A00"/>
          <w:sz w:val="19"/>
          <w:szCs w:val="19"/>
        </w:rPr>
        <w:t xml:space="preserve">Lead with:  </w:t>
      </w:r>
      <w:r>
        <w:rPr>
          <w:i/>
          <w:iCs/>
        </w:rPr>
        <w:t xml:space="preserve">"Then the measurement tells you before your revenue does. That is most of the point of it."</w:t>
      </w:r>
    </w:p>
    <w:p>
      <w:pPr>
        <w:spacing w:after="140" w:before="0" w:line="264"/>
      </w:pPr>
      <w:r>
        <w:t xml:space="preserve">Two parts to that. The site is durable no matter what happens. A fast, well-structured site that answers customer questions has been the right investment through every version of search, and it is yours.</w:t>
      </w:r>
    </w:p>
    <w:p>
      <w:pPr>
        <w:spacing w:after="140" w:before="0" w:line="264"/>
      </w:pPr>
      <w:r>
        <w:t xml:space="preserve">On the measurement side, we track whether an AI answer even appeared for a question, as its own separate number. So if Google dials AI answers down in your category, you will see that in the report as "the surface shrank," not as "you lost your recommendation." Most tools cannot tell those two apart, which means they will happily bill you for a drop that had nothing to do with you. We would rather show you the market moved than take credit for it or take blame for it.</w:t>
      </w:r>
    </w:p>
    <w:p>
      <w:pPr>
        <w:pStyle w:val="Heading3"/>
        <w:spacing w:after="110" w:before="250"/>
      </w:pPr>
      <w:r>
        <w:rPr>
          <w:b/>
          <w:bCs/>
          <w:color w:val="000000"/>
          <w:sz w:val="21"/>
          <w:szCs w:val="21"/>
        </w:rPr>
        <w:t xml:space="preserve">1.10  "Who owns the site, the accounts, the data?"</w:t>
      </w:r>
    </w:p>
    <w:p>
      <w:pPr>
        <w:pBdr>
          <w:left w:val="single" w:color="8A5A00" w:sz="12" w:space="10"/>
        </w:pBdr>
        <w:spacing w:after="150" w:line="264"/>
        <w:ind w:left="220"/>
      </w:pPr>
      <w:r>
        <w:rPr>
          <w:b/>
          <w:bCs/>
          <w:color w:val="8A5A00"/>
          <w:sz w:val="19"/>
          <w:szCs w:val="19"/>
        </w:rPr>
        <w:t xml:space="preserve">Lead with:  </w:t>
      </w:r>
      <w:r>
        <w:rPr>
          <w:i/>
          <w:iCs/>
        </w:rPr>
        <w:t xml:space="preserve">"You do. All of it, on payment, and it goes in the agreement."</w:t>
      </w:r>
    </w:p>
    <w:p>
      <w:pPr>
        <w:spacing w:after="140" w:before="0" w:line="264"/>
      </w:pPr>
      <w:r>
        <w:t xml:space="preserve">Code, content, domain, hosting, analytics, and the raw measurement results. Yours. Intellectual property transfers to you when you have paid for it, and we write that in rather than say it. No proprietary CMS. No platform you can only leave by starting over. No data we hold back as leverage.</w:t>
      </w:r>
    </w:p>
    <w:p>
      <w:pPr>
        <w:spacing w:after="140" w:before="0" w:line="264"/>
      </w:pPr>
      <w:r>
        <w:t xml:space="preserve">If you fire us you take the site, the accounts, and every number we ever produced, and any competent developer can pick it up on Monday. The one thing that stays ours is the measurement platform itself, the same way your accountant keeps their software.</w:t>
      </w:r>
    </w:p>
    <w:p>
      <w:pPr>
        <w:spacing w:after="110" w:before="0" w:line="264"/>
      </w:pPr>
      <w:r>
        <w:rPr>
          <w:b/>
          <w:bCs/>
          <w:color w:val="8A5A00"/>
        </w:rPr>
        <w:t xml:space="preserve">Why this matters more than it looks: </w:t>
      </w:r>
      <w:r>
        <w:t xml:space="preserve">this is the objection founders who have been burned by an agency are actually asking. Say the no-lock-in part out loud even if they do not ask.</w:t>
      </w:r>
    </w:p>
    <w:p>
      <w:pPr>
        <w:pStyle w:val="Heading3"/>
        <w:spacing w:after="110" w:before="250"/>
      </w:pPr>
      <w:r>
        <w:rPr>
          <w:b/>
          <w:bCs/>
          <w:color w:val="000000"/>
          <w:sz w:val="21"/>
          <w:szCs w:val="21"/>
        </w:rPr>
        <w:t xml:space="preserve">1.11  "How do I know it is worth it? What is the return?"</w:t>
      </w:r>
    </w:p>
    <w:p>
      <w:pPr>
        <w:pBdr>
          <w:left w:val="single" w:color="8A5A00" w:sz="12" w:space="10"/>
        </w:pBdr>
        <w:spacing w:after="150" w:line="264"/>
        <w:ind w:left="220"/>
      </w:pPr>
      <w:r>
        <w:rPr>
          <w:b/>
          <w:bCs/>
          <w:color w:val="8A5A00"/>
          <w:sz w:val="19"/>
          <w:szCs w:val="19"/>
        </w:rPr>
        <w:t xml:space="preserve">Lead with:  </w:t>
      </w:r>
      <w:r>
        <w:rPr>
          <w:i/>
          <w:iCs/>
        </w:rPr>
        <w:t xml:space="preserve">"I am not going to model an ROI I cannot measure. Here is the arithmetic you can do yourself."</w:t>
      </w:r>
    </w:p>
    <w:p>
      <w:pPr>
        <w:spacing w:after="140" w:before="0" w:line="264"/>
      </w:pPr>
      <w:r>
        <w:t xml:space="preserve">You know what a customer is worth to you, and roughly what you pay to get one now. The question on the table is how many buying decisions in your category now start with an AI answer, and whether being on that shortlist is worth the monthly.</w:t>
      </w:r>
    </w:p>
    <w:p>
      <w:pPr>
        <w:spacing w:after="140" w:before="0" w:line="264"/>
      </w:pPr>
      <w:r>
        <w:t xml:space="preserve">For direction, not as a promise about you: 45% of US consumers said they used AI tools to find local businesses last year, up from 6% the year before. That is BrightLocal's 2026 survey. Swap in the equivalent number for their category if we have one with a source.</w:t>
      </w:r>
    </w:p>
    <w:p>
      <w:pPr>
        <w:spacing w:after="140" w:before="0" w:line="264"/>
      </w:pPr>
      <w:r>
        <w:t xml:space="preserve">What I can commit to is that you will be able to see whether it is working, on a fixed cadence, in numbers you can inspect. That is more than most marketing spend gives you.</w:t>
      </w:r>
    </w:p>
    <w:p>
      <w:pPr>
        <w:spacing w:after="110" w:before="0" w:line="264"/>
      </w:pPr>
      <w:r>
        <w:rPr>
          <w:b/>
          <w:bCs/>
          <w:color w:val="8A5A00"/>
        </w:rPr>
        <w:t xml:space="preserve">Do not say: </w:t>
      </w:r>
      <w:r>
        <w:t xml:space="preserve">a specific lead count or revenue figure. That is an FTC problem and a reputation problem in the same sentence.</w:t>
      </w:r>
    </w:p>
    <w:p>
      <w:pPr>
        <w:pStyle w:val="Heading3"/>
        <w:spacing w:after="110" w:before="250"/>
      </w:pPr>
      <w:r>
        <w:rPr>
          <w:b/>
          <w:bCs/>
          <w:color w:val="000000"/>
          <w:sz w:val="21"/>
          <w:szCs w:val="21"/>
        </w:rPr>
        <w:t xml:space="preserve">1.12  "What do you actually need from me?"</w:t>
      </w:r>
    </w:p>
    <w:p>
      <w:pPr>
        <w:pBdr>
          <w:left w:val="single" w:color="8A5A00" w:sz="12" w:space="10"/>
        </w:pBdr>
        <w:spacing w:after="150" w:line="264"/>
        <w:ind w:left="220"/>
      </w:pPr>
      <w:r>
        <w:rPr>
          <w:b/>
          <w:bCs/>
          <w:color w:val="8A5A00"/>
          <w:sz w:val="19"/>
          <w:szCs w:val="19"/>
        </w:rPr>
        <w:t xml:space="preserve">Lead with:  </w:t>
      </w:r>
      <w:r>
        <w:rPr>
          <w:i/>
          <w:iCs/>
        </w:rPr>
        <w:t xml:space="preserve">"Around three to four hours in total, spread over a month."</w:t>
      </w:r>
    </w:p>
    <w:p>
      <w:pPr>
        <w:spacing w:after="140" w:before="0" w:line="264"/>
      </w:pPr>
      <w:r>
        <w:t xml:space="preserve">One intake call to agree what the site has to do and who you are compared against. One working session where we pull the proof out of you: your real results, your credentials, the questions customers actually ask you. A fact sheet, which we send as a template and you correct, about 30 minutes, and it is what lets us catch an engine saying something false about you. Then two rounds of review, one on copy and one on the staging site. Everything else is on our side.</w:t>
      </w:r>
    </w:p>
    <w:p>
      <w:pPr>
        <w:spacing w:after="110" w:before="0" w:line="264"/>
      </w:pPr>
      <w:r>
        <w:rPr>
          <w:b/>
          <w:bCs/>
          <w:color w:val="8A5A00"/>
        </w:rPr>
        <w:t xml:space="preserve">Why to volunteer this early: </w:t>
      </w:r>
      <w:r>
        <w:t xml:space="preserve">the unspoken fear in every website conversation is "this will eat my month." Answering it before they ask removes it.</w:t>
      </w:r>
    </w:p>
    <w:p>
      <w:pPr>
        <w:pStyle w:val="Heading3"/>
        <w:spacing w:after="110" w:before="250"/>
      </w:pPr>
      <w:r>
        <w:rPr>
          <w:b/>
          <w:bCs/>
          <w:color w:val="000000"/>
          <w:sz w:val="21"/>
          <w:szCs w:val="21"/>
        </w:rPr>
        <w:t xml:space="preserve">1.13  "Can't you just add the AI stuff? The schema, the llms.txt file?"  (only if they raise it)</w:t>
      </w:r>
    </w:p>
    <w:p>
      <w:pPr>
        <w:pBdr>
          <w:left w:val="single" w:color="8A5A00" w:sz="12" w:space="10"/>
        </w:pBdr>
        <w:spacing w:after="150" w:line="264"/>
        <w:ind w:left="220"/>
      </w:pPr>
      <w:r>
        <w:rPr>
          <w:b/>
          <w:bCs/>
          <w:color w:val="8A5A00"/>
          <w:sz w:val="19"/>
          <w:szCs w:val="19"/>
        </w:rPr>
        <w:t xml:space="preserve">Lead with:  </w:t>
      </w:r>
      <w:r>
        <w:rPr>
          <w:i/>
          <w:iCs/>
        </w:rPr>
        <w:t xml:space="preserve">"Some of that is hygiene worth doing. Some of it is theater, and we would flag it if a competitor sold it to you."</w:t>
      </w:r>
    </w:p>
    <w:p>
      <w:pPr>
        <w:spacing w:after="140" w:before="0" w:line="264"/>
      </w:pPr>
      <w:r>
        <w:t xml:space="preserve">Structured data is cheap and worth having for clarity, and we do it. But the controlled studies we have seen do not show it lifting AI citations on its own, so we do it because it is tidy, not because it is a lever. And llms.txt, the file a lot of agencies are currently selling as the AI fix, Google has said outright it does not use, and a large-scale analysis found no relationship with citations. We do not ship it and we do not charge for it.</w:t>
      </w:r>
    </w:p>
    <w:p>
      <w:pPr>
        <w:spacing w:after="140" w:before="0" w:line="264"/>
      </w:pPr>
      <w:r>
        <w:t xml:space="preserve">What actually moves things is dull: pages that answer real questions, a site engines can reach, and being present on the sources they read.</w:t>
      </w:r>
    </w:p>
    <w:p>
      <w:pPr>
        <w:pStyle w:val="Heading3"/>
        <w:spacing w:after="110" w:before="250"/>
      </w:pPr>
      <w:r>
        <w:rPr>
          <w:b/>
          <w:bCs/>
          <w:color w:val="000000"/>
          <w:sz w:val="21"/>
          <w:szCs w:val="21"/>
        </w:rPr>
        <w:t xml:space="preserve">1.14  "Isn't AI just making things up? Why would I want to be in it?"</w:t>
      </w:r>
    </w:p>
    <w:p>
      <w:pPr>
        <w:pBdr>
          <w:left w:val="single" w:color="8A5A00" w:sz="12" w:space="10"/>
        </w:pBdr>
        <w:spacing w:after="150" w:line="264"/>
        <w:ind w:left="220"/>
      </w:pPr>
      <w:r>
        <w:rPr>
          <w:b/>
          <w:bCs/>
          <w:color w:val="8A5A00"/>
          <w:sz w:val="19"/>
          <w:szCs w:val="19"/>
        </w:rPr>
        <w:t xml:space="preserve">Lead with:  </w:t>
      </w:r>
      <w:r>
        <w:rPr>
          <w:i/>
          <w:iCs/>
        </w:rPr>
        <w:t xml:space="preserve">"It does get things wrong, and that is an argument for measuring it, not for ignoring it."</w:t>
      </w:r>
    </w:p>
    <w:p>
      <w:pPr>
        <w:spacing w:after="140" w:before="0" w:line="264"/>
      </w:pPr>
      <w:r>
        <w:t xml:space="preserve">Your customers are already asking it, whatever we think of its reliability. And the risk is not only that it fails to mention you. It is that it mentions you and gets you wrong.</w:t>
      </w:r>
    </w:p>
    <w:p>
      <w:pPr>
        <w:spacing w:after="140" w:before="0" w:line="264"/>
      </w:pPr>
      <w:r>
        <w:t xml:space="preserve">That is a specific thing we look for. Every answer gets graded against a fact sheet you approve, so "the engine says you do not offer this service, and you do" comes back as a finding with the quote attached. That kind of error is costing somebody a customer right now, and without measuring it nobody would ever know.</w:t>
      </w:r>
    </w:p>
    <w:p>
      <w:pPr>
        <w:pStyle w:val="Heading1"/>
        <w:pBdr>
          <w:bottom w:val="single" w:color="D9D9D9" w:sz="6" w:space="6"/>
        </w:pBdr>
        <w:spacing w:after="170" w:before="380"/>
      </w:pPr>
      <w:r>
        <w:rPr>
          <w:b/>
          <w:bCs/>
          <w:color w:val="1F3864"/>
          <w:sz w:val="30"/>
          <w:szCs w:val="30"/>
        </w:rPr>
        <w:t xml:space="preserve">2. Language discipline</w:t>
      </w:r>
    </w:p>
    <w:p>
      <w:pPr>
        <w:spacing w:after="140" w:before="0" w:line="264"/>
      </w:pPr>
      <w:r>
        <w:t xml:space="preserve">Josh is speaking live, so these need to be reflexes rather than rules to remember. The left column is not hypothetical. Most of it is standard language in this market right now, which is exactly why not using it registers.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900"/>
        <w:gridCol w:w="3100"/>
        <w:gridCol w:w="3360"/>
      </w:tblGrid>
      <w:tr>
        <w:trPr>
          <w:tblHeader/>
        </w:trPr>
        <w:tc>
          <w:tcPr>
            <w:tcW w:type="dxa" w:w="2900"/>
            <w:shd w:fill="F2F2F2" w:color="auto" w:val="clear"/>
            <w:tcMar>
              <w:top w:type="dxa" w:w="80"/>
              <w:left w:type="dxa" w:w="120"/>
              <w:bottom w:type="dxa" w:w="80"/>
              <w:right w:type="dxa" w:w="120"/>
            </w:tcMar>
          </w:tcPr>
          <w:p>
            <w:pPr>
              <w:spacing w:after="0" w:line="250"/>
            </w:pPr>
            <w:r>
              <w:rPr>
                <w:b/>
                <w:bCs/>
                <w:color w:val="1F3864"/>
                <w:sz w:val="19"/>
                <w:szCs w:val="19"/>
              </w:rPr>
              <w:t xml:space="preserve">Never say</w:t>
            </w:r>
          </w:p>
        </w:tc>
        <w:tc>
          <w:tcPr>
            <w:tcW w:type="dxa" w:w="3100"/>
            <w:shd w:fill="F2F2F2" w:color="auto" w:val="clear"/>
            <w:tcMar>
              <w:top w:type="dxa" w:w="80"/>
              <w:left w:type="dxa" w:w="120"/>
              <w:bottom w:type="dxa" w:w="80"/>
              <w:right w:type="dxa" w:w="120"/>
            </w:tcMar>
          </w:tcPr>
          <w:p>
            <w:pPr>
              <w:spacing w:after="0" w:line="250"/>
            </w:pPr>
            <w:r>
              <w:rPr>
                <w:b/>
                <w:bCs/>
                <w:color w:val="1F3864"/>
                <w:sz w:val="19"/>
                <w:szCs w:val="19"/>
              </w:rPr>
              <w:t xml:space="preserve">Say instead</w:t>
            </w:r>
          </w:p>
        </w:tc>
        <w:tc>
          <w:tcPr>
            <w:tcW w:type="dxa" w:w="3360"/>
            <w:shd w:fill="F2F2F2" w:color="auto" w:val="clear"/>
            <w:tcMar>
              <w:top w:type="dxa" w:w="80"/>
              <w:left w:type="dxa" w:w="120"/>
              <w:bottom w:type="dxa" w:w="80"/>
              <w:right w:type="dxa" w:w="120"/>
            </w:tcMar>
          </w:tcPr>
          <w:p>
            <w:pPr>
              <w:spacing w:after="0" w:line="250"/>
            </w:pPr>
            <w:r>
              <w:rPr>
                <w:b/>
                <w:bCs/>
                <w:color w:val="1F3864"/>
                <w:sz w:val="19"/>
                <w:szCs w:val="19"/>
              </w:rPr>
              <w:t xml:space="preserve">Why</w:t>
            </w:r>
          </w:p>
        </w:tc>
      </w:tr>
      <w:tr>
        <w:tc>
          <w:tcPr>
            <w:tcW w:type="dxa" w:w="2900"/>
            <w:tcMar>
              <w:top w:type="dxa" w:w="80"/>
              <w:left w:type="dxa" w:w="120"/>
              <w:bottom w:type="dxa" w:w="80"/>
              <w:right w:type="dxa" w:w="120"/>
            </w:tcMar>
          </w:tcPr>
          <w:p>
            <w:pPr>
              <w:spacing w:after="0" w:line="250"/>
            </w:pPr>
            <w:r>
              <w:rPr>
                <w:sz w:val="19"/>
                <w:szCs w:val="19"/>
              </w:rPr>
              <w:t xml:space="preserve">Get you ranked #1 in ChatGPT</w:t>
            </w:r>
          </w:p>
        </w:tc>
        <w:tc>
          <w:tcPr>
            <w:tcW w:type="dxa" w:w="3100"/>
            <w:tcMar>
              <w:top w:type="dxa" w:w="80"/>
              <w:left w:type="dxa" w:w="120"/>
              <w:bottom w:type="dxa" w:w="80"/>
              <w:right w:type="dxa" w:w="120"/>
            </w:tcMar>
          </w:tcPr>
          <w:p>
            <w:pPr>
              <w:spacing w:after="0" w:line="250"/>
            </w:pPr>
            <w:r>
              <w:rPr>
                <w:sz w:val="19"/>
                <w:szCs w:val="19"/>
              </w:rPr>
              <w:t xml:space="preserve">We measure how often you are named, and work to raise it</w:t>
            </w:r>
          </w:p>
        </w:tc>
        <w:tc>
          <w:tcPr>
            <w:tcW w:type="dxa" w:w="3360"/>
            <w:tcMar>
              <w:top w:type="dxa" w:w="80"/>
              <w:left w:type="dxa" w:w="120"/>
              <w:bottom w:type="dxa" w:w="80"/>
              <w:right w:type="dxa" w:w="120"/>
            </w:tcMar>
          </w:tcPr>
          <w:p>
            <w:pPr>
              <w:spacing w:after="0" w:line="250"/>
            </w:pPr>
            <w:r>
              <w:rPr>
                <w:sz w:val="19"/>
                <w:szCs w:val="19"/>
              </w:rPr>
              <w:t xml:space="preserve">Nobody controls the output. The FTC has brought actions over AI performance claims made to small businesses.</w:t>
            </w:r>
          </w:p>
        </w:tc>
      </w:tr>
      <w:tr>
        <w:tc>
          <w:tcPr>
            <w:tcW w:type="dxa" w:w="2900"/>
            <w:tcMar>
              <w:top w:type="dxa" w:w="80"/>
              <w:left w:type="dxa" w:w="120"/>
              <w:bottom w:type="dxa" w:w="80"/>
              <w:right w:type="dxa" w:w="120"/>
            </w:tcMar>
          </w:tcPr>
          <w:p>
            <w:pPr>
              <w:spacing w:after="0" w:line="250"/>
            </w:pPr>
            <w:r>
              <w:rPr>
                <w:sz w:val="19"/>
                <w:szCs w:val="19"/>
              </w:rPr>
              <w:t xml:space="preserve">You rank #3 for that query</w:t>
            </w:r>
          </w:p>
        </w:tc>
        <w:tc>
          <w:tcPr>
            <w:tcW w:type="dxa" w:w="3100"/>
            <w:tcMar>
              <w:top w:type="dxa" w:w="80"/>
              <w:left w:type="dxa" w:w="120"/>
              <w:bottom w:type="dxa" w:w="80"/>
              <w:right w:type="dxa" w:w="120"/>
            </w:tcMar>
          </w:tcPr>
          <w:p>
            <w:pPr>
              <w:spacing w:after="0" w:line="250"/>
            </w:pPr>
            <w:r>
              <w:rPr>
                <w:sz w:val="19"/>
                <w:szCs w:val="19"/>
              </w:rPr>
              <w:t xml:space="preserve">You were named in 3 of 10 runs</w:t>
            </w:r>
          </w:p>
        </w:tc>
        <w:tc>
          <w:tcPr>
            <w:tcW w:type="dxa" w:w="3360"/>
            <w:tcMar>
              <w:top w:type="dxa" w:w="80"/>
              <w:left w:type="dxa" w:w="120"/>
              <w:bottom w:type="dxa" w:w="80"/>
              <w:right w:type="dxa" w:w="120"/>
            </w:tcMar>
          </w:tcPr>
          <w:p>
            <w:pPr>
              <w:spacing w:after="0" w:line="250"/>
            </w:pPr>
            <w:r>
              <w:rPr>
                <w:sz w:val="19"/>
                <w:szCs w:val="19"/>
              </w:rPr>
              <w:t xml:space="preserve">A single fetch is noise. Sampled rates are the only honest unit, and it is our whole methodological argument.</w:t>
            </w:r>
          </w:p>
        </w:tc>
      </w:tr>
      <w:tr>
        <w:tc>
          <w:tcPr>
            <w:tcW w:type="dxa" w:w="2900"/>
            <w:tcMar>
              <w:top w:type="dxa" w:w="80"/>
              <w:left w:type="dxa" w:w="120"/>
              <w:bottom w:type="dxa" w:w="80"/>
              <w:right w:type="dxa" w:w="120"/>
            </w:tcMar>
          </w:tcPr>
          <w:p>
            <w:pPr>
              <w:spacing w:after="0" w:line="250"/>
            </w:pPr>
            <w:r>
              <w:rPr>
                <w:sz w:val="19"/>
                <w:szCs w:val="19"/>
              </w:rPr>
              <w:t xml:space="preserve">Guaranteed results, guaranteed placement</w:t>
            </w:r>
          </w:p>
        </w:tc>
        <w:tc>
          <w:tcPr>
            <w:tcW w:type="dxa" w:w="3100"/>
            <w:tcMar>
              <w:top w:type="dxa" w:w="80"/>
              <w:left w:type="dxa" w:w="120"/>
              <w:bottom w:type="dxa" w:w="80"/>
              <w:right w:type="dxa" w:w="120"/>
            </w:tcMar>
          </w:tcPr>
          <w:p>
            <w:pPr>
              <w:spacing w:after="0" w:line="250"/>
            </w:pPr>
            <w:r>
              <w:rPr>
                <w:sz w:val="19"/>
                <w:szCs w:val="19"/>
              </w:rPr>
              <w:t xml:space="preserve">Guaranteed work, cadence, data and ownership</w:t>
            </w:r>
          </w:p>
        </w:tc>
        <w:tc>
          <w:tcPr>
            <w:tcW w:type="dxa" w:w="3360"/>
            <w:tcMar>
              <w:top w:type="dxa" w:w="80"/>
              <w:left w:type="dxa" w:w="120"/>
              <w:bottom w:type="dxa" w:w="80"/>
              <w:right w:type="dxa" w:w="120"/>
            </w:tcMar>
          </w:tcPr>
          <w:p>
            <w:pPr>
              <w:spacing w:after="0" w:line="250"/>
            </w:pPr>
            <w:r>
              <w:rPr>
                <w:sz w:val="19"/>
                <w:szCs w:val="19"/>
              </w:rPr>
              <w:t xml:space="preserve">Also written into the agreement as an explicit disclaimer. Show them the clause.</w:t>
            </w:r>
          </w:p>
        </w:tc>
      </w:tr>
      <w:tr>
        <w:tc>
          <w:tcPr>
            <w:tcW w:type="dxa" w:w="2900"/>
            <w:tcMar>
              <w:top w:type="dxa" w:w="80"/>
              <w:left w:type="dxa" w:w="120"/>
              <w:bottom w:type="dxa" w:w="80"/>
              <w:right w:type="dxa" w:w="120"/>
            </w:tcMar>
          </w:tcPr>
          <w:p>
            <w:pPr>
              <w:spacing w:after="0" w:line="250"/>
            </w:pPr>
            <w:r>
              <w:rPr>
                <w:sz w:val="19"/>
                <w:szCs w:val="19"/>
              </w:rPr>
              <w:t xml:space="preserve">SEO is dead</w:t>
            </w:r>
          </w:p>
        </w:tc>
        <w:tc>
          <w:tcPr>
            <w:tcW w:type="dxa" w:w="3100"/>
            <w:tcMar>
              <w:top w:type="dxa" w:w="80"/>
              <w:left w:type="dxa" w:w="120"/>
              <w:bottom w:type="dxa" w:w="80"/>
              <w:right w:type="dxa" w:w="120"/>
            </w:tcMar>
          </w:tcPr>
          <w:p>
            <w:pPr>
              <w:spacing w:after="0" w:line="250"/>
            </w:pPr>
            <w:r>
              <w:rPr>
                <w:sz w:val="19"/>
                <w:szCs w:val="19"/>
              </w:rPr>
              <w:t xml:space="preserve">Most of the fundamentals carry over. Here is what changed.</w:t>
            </w:r>
          </w:p>
        </w:tc>
        <w:tc>
          <w:tcPr>
            <w:tcW w:type="dxa" w:w="3360"/>
            <w:tcMar>
              <w:top w:type="dxa" w:w="80"/>
              <w:left w:type="dxa" w:w="120"/>
              <w:bottom w:type="dxa" w:w="80"/>
              <w:right w:type="dxa" w:w="120"/>
            </w:tcMar>
          </w:tcPr>
          <w:p>
            <w:pPr>
              <w:spacing w:after="0" w:line="250"/>
            </w:pPr>
            <w:r>
              <w:rPr>
                <w:sz w:val="19"/>
                <w:szCs w:val="19"/>
              </w:rPr>
              <w:t xml:space="preserve">Overclaiming, and they may already be paying someone for SEO.</w:t>
            </w:r>
          </w:p>
        </w:tc>
      </w:tr>
      <w:tr>
        <w:tc>
          <w:tcPr>
            <w:tcW w:type="dxa" w:w="2900"/>
            <w:tcMar>
              <w:top w:type="dxa" w:w="80"/>
              <w:left w:type="dxa" w:w="120"/>
              <w:bottom w:type="dxa" w:w="80"/>
              <w:right w:type="dxa" w:w="120"/>
            </w:tcMar>
          </w:tcPr>
          <w:p>
            <w:pPr>
              <w:spacing w:after="0" w:line="250"/>
            </w:pPr>
            <w:r>
              <w:rPr>
                <w:sz w:val="19"/>
                <w:szCs w:val="19"/>
              </w:rPr>
              <w:t xml:space="preserve">Our clients typically see...</w:t>
            </w:r>
          </w:p>
        </w:tc>
        <w:tc>
          <w:tcPr>
            <w:tcW w:type="dxa" w:w="3100"/>
            <w:tcMar>
              <w:top w:type="dxa" w:w="80"/>
              <w:left w:type="dxa" w:w="120"/>
              <w:bottom w:type="dxa" w:w="80"/>
              <w:right w:type="dxa" w:w="120"/>
            </w:tcMar>
          </w:tcPr>
          <w:p>
            <w:pPr>
              <w:spacing w:after="0" w:line="250"/>
            </w:pPr>
            <w:r>
              <w:rPr>
                <w:sz w:val="19"/>
                <w:szCs w:val="19"/>
              </w:rPr>
              <w:t xml:space="preserve">We are early. Here is the instrument, and here is our audit of ourselves.</w:t>
            </w:r>
          </w:p>
        </w:tc>
        <w:tc>
          <w:tcPr>
            <w:tcW w:type="dxa" w:w="3360"/>
            <w:tcMar>
              <w:top w:type="dxa" w:w="80"/>
              <w:left w:type="dxa" w:w="120"/>
              <w:bottom w:type="dxa" w:w="80"/>
              <w:right w:type="dxa" w:w="120"/>
            </w:tcMar>
          </w:tcPr>
          <w:p>
            <w:pPr>
              <w:spacing w:after="0" w:line="250"/>
            </w:pPr>
            <w:r>
              <w:rPr>
                <w:sz w:val="19"/>
                <w:szCs w:val="19"/>
              </w:rPr>
              <w:t xml:space="preserve">We have no client base to generalise from. One invented claim ends the relationship.</w:t>
            </w:r>
          </w:p>
        </w:tc>
      </w:tr>
      <w:tr>
        <w:tc>
          <w:tcPr>
            <w:tcW w:type="dxa" w:w="2900"/>
            <w:tcMar>
              <w:top w:type="dxa" w:w="80"/>
              <w:left w:type="dxa" w:w="120"/>
              <w:bottom w:type="dxa" w:w="80"/>
              <w:right w:type="dxa" w:w="120"/>
            </w:tcMar>
          </w:tcPr>
          <w:p>
            <w:pPr>
              <w:spacing w:after="0" w:line="250"/>
            </w:pPr>
            <w:r>
              <w:rPr>
                <w:sz w:val="19"/>
                <w:szCs w:val="19"/>
              </w:rPr>
              <w:t xml:space="preserve">AI dominance, own the AI results</w:t>
            </w:r>
          </w:p>
        </w:tc>
        <w:tc>
          <w:tcPr>
            <w:tcW w:type="dxa" w:w="3100"/>
            <w:tcMar>
              <w:top w:type="dxa" w:w="80"/>
              <w:left w:type="dxa" w:w="120"/>
              <w:bottom w:type="dxa" w:w="80"/>
              <w:right w:type="dxa" w:w="120"/>
            </w:tcMar>
          </w:tcPr>
          <w:p>
            <w:pPr>
              <w:spacing w:after="0" w:line="250"/>
            </w:pPr>
            <w:r>
              <w:rPr>
                <w:sz w:val="19"/>
                <w:szCs w:val="19"/>
              </w:rPr>
              <w:t xml:space="preserve">plain description of what we measure</w:t>
            </w:r>
          </w:p>
        </w:tc>
        <w:tc>
          <w:tcPr>
            <w:tcW w:type="dxa" w:w="3360"/>
            <w:tcMar>
              <w:top w:type="dxa" w:w="80"/>
              <w:left w:type="dxa" w:w="120"/>
              <w:bottom w:type="dxa" w:w="80"/>
              <w:right w:type="dxa" w:w="120"/>
            </w:tcMar>
          </w:tcPr>
          <w:p>
            <w:pPr>
              <w:spacing w:after="0" w:line="250"/>
            </w:pPr>
            <w:r>
              <w:rPr>
                <w:sz w:val="19"/>
                <w:szCs w:val="19"/>
              </w:rPr>
              <w:t xml:space="preserve">It is the vocabulary of the agencies we are differentiating ourselves from.</w:t>
            </w:r>
          </w:p>
        </w:tc>
      </w:tr>
      <w:tr>
        <w:tc>
          <w:tcPr>
            <w:tcW w:type="dxa" w:w="2900"/>
            <w:tcMar>
              <w:top w:type="dxa" w:w="80"/>
              <w:left w:type="dxa" w:w="120"/>
              <w:bottom w:type="dxa" w:w="80"/>
              <w:right w:type="dxa" w:w="120"/>
            </w:tcMar>
          </w:tcPr>
          <w:p>
            <w:pPr>
              <w:spacing w:after="0" w:line="250"/>
            </w:pPr>
            <w:r>
              <w:rPr>
                <w:sz w:val="19"/>
                <w:szCs w:val="19"/>
              </w:rPr>
              <w:t xml:space="preserve">We will add llms.txt and schema and you will get cited</w:t>
            </w:r>
          </w:p>
        </w:tc>
        <w:tc>
          <w:tcPr>
            <w:tcW w:type="dxa" w:w="3100"/>
            <w:tcMar>
              <w:top w:type="dxa" w:w="80"/>
              <w:left w:type="dxa" w:w="120"/>
              <w:bottom w:type="dxa" w:w="80"/>
              <w:right w:type="dxa" w:w="120"/>
            </w:tcMar>
          </w:tcPr>
          <w:p>
            <w:pPr>
              <w:spacing w:after="0" w:line="250"/>
            </w:pPr>
            <w:r>
              <w:rPr>
                <w:sz w:val="19"/>
                <w:szCs w:val="19"/>
              </w:rPr>
              <w:t xml:space="preserve">Hygiene, not a lever</w:t>
            </w:r>
          </w:p>
        </w:tc>
        <w:tc>
          <w:tcPr>
            <w:tcW w:type="dxa" w:w="3360"/>
            <w:tcMar>
              <w:top w:type="dxa" w:w="80"/>
              <w:left w:type="dxa" w:w="120"/>
              <w:bottom w:type="dxa" w:w="80"/>
              <w:right w:type="dxa" w:w="120"/>
            </w:tcMar>
          </w:tcPr>
          <w:p>
            <w:pPr>
              <w:spacing w:after="0" w:line="250"/>
            </w:pPr>
            <w:r>
              <w:rPr>
                <w:sz w:val="19"/>
                <w:szCs w:val="19"/>
              </w:rPr>
              <w:t xml:space="preserve">No evidence behind it, and we would flag it in someone else's audit.</w:t>
            </w:r>
          </w:p>
        </w:tc>
      </w:tr>
      <w:tr>
        <w:tc>
          <w:tcPr>
            <w:tcW w:type="dxa" w:w="2900"/>
            <w:tcMar>
              <w:top w:type="dxa" w:w="80"/>
              <w:left w:type="dxa" w:w="120"/>
              <w:bottom w:type="dxa" w:w="80"/>
              <w:right w:type="dxa" w:w="120"/>
            </w:tcMar>
          </w:tcPr>
          <w:p>
            <w:pPr>
              <w:spacing w:after="0" w:line="250"/>
            </w:pPr>
            <w:r>
              <w:rPr>
                <w:sz w:val="19"/>
                <w:szCs w:val="19"/>
              </w:rPr>
              <w:t xml:space="preserve">Letter grades, or a judge-agreement percentage, in their deliverable</w:t>
            </w:r>
          </w:p>
        </w:tc>
        <w:tc>
          <w:tcPr>
            <w:tcW w:type="dxa" w:w="3100"/>
            <w:tcMar>
              <w:top w:type="dxa" w:w="80"/>
              <w:left w:type="dxa" w:w="120"/>
              <w:bottom w:type="dxa" w:w="80"/>
              <w:right w:type="dxa" w:w="120"/>
            </w:tcMar>
          </w:tcPr>
          <w:p>
            <w:pPr>
              <w:spacing w:after="0" w:line="250"/>
            </w:pPr>
            <w:r>
              <w:rPr>
                <w:sz w:val="19"/>
                <w:szCs w:val="19"/>
              </w:rPr>
              <w:t xml:space="preserve">mention and presence rates</w:t>
            </w:r>
          </w:p>
        </w:tc>
        <w:tc>
          <w:tcPr>
            <w:tcW w:type="dxa" w:w="3360"/>
            <w:tcMar>
              <w:top w:type="dxa" w:w="80"/>
              <w:left w:type="dxa" w:w="120"/>
              <w:bottom w:type="dxa" w:w="80"/>
              <w:right w:type="dxa" w:w="120"/>
            </w:tcMar>
          </w:tcPr>
          <w:p>
            <w:pPr>
              <w:spacing w:after="0" w:line="250"/>
            </w:pPr>
            <w:r>
              <w:rPr>
                <w:sz w:val="19"/>
                <w:szCs w:val="19"/>
              </w:rPr>
              <w:t xml:space="preserve">Our calibration was measured on a different kind of business. Recalibrate before we grade.</w:t>
            </w:r>
          </w:p>
        </w:tc>
      </w:tr>
      <w:tr>
        <w:tc>
          <w:tcPr>
            <w:tcW w:type="dxa" w:w="2900"/>
            <w:tcMar>
              <w:top w:type="dxa" w:w="80"/>
              <w:left w:type="dxa" w:w="120"/>
              <w:bottom w:type="dxa" w:w="80"/>
              <w:right w:type="dxa" w:w="120"/>
            </w:tcMar>
          </w:tcPr>
          <w:p>
            <w:pPr>
              <w:spacing w:after="0" w:line="250"/>
            </w:pPr>
            <w:r>
              <w:rPr>
                <w:sz w:val="19"/>
                <w:szCs w:val="19"/>
              </w:rPr>
              <w:t xml:space="preserve">Any statistic with no source attached</w:t>
            </w:r>
          </w:p>
        </w:tc>
        <w:tc>
          <w:tcPr>
            <w:tcW w:type="dxa" w:w="3100"/>
            <w:tcMar>
              <w:top w:type="dxa" w:w="80"/>
              <w:left w:type="dxa" w:w="120"/>
              <w:bottom w:type="dxa" w:w="80"/>
              <w:right w:type="dxa" w:w="120"/>
            </w:tcMar>
          </w:tcPr>
          <w:p>
            <w:pPr>
              <w:spacing w:after="0" w:line="250"/>
            </w:pPr>
            <w:r>
              <w:rPr>
                <w:sz w:val="19"/>
                <w:szCs w:val="19"/>
              </w:rPr>
              <w:t xml:space="preserve">"BrightLocal, 2026", "Whitespark, 2025"</w:t>
            </w:r>
          </w:p>
        </w:tc>
        <w:tc>
          <w:tcPr>
            <w:tcW w:type="dxa" w:w="3360"/>
            <w:tcMar>
              <w:top w:type="dxa" w:w="80"/>
              <w:left w:type="dxa" w:w="120"/>
              <w:bottom w:type="dxa" w:w="80"/>
              <w:right w:type="dxa" w:w="120"/>
            </w:tcMar>
          </w:tcPr>
          <w:p>
            <w:pPr>
              <w:spacing w:after="0" w:line="250"/>
            </w:pPr>
            <w:r>
              <w:rPr>
                <w:sz w:val="19"/>
                <w:szCs w:val="19"/>
              </w:rPr>
              <w:t xml:space="preserve">Our own copy rule, and naming the source is most of what makes the number land.</w:t>
            </w:r>
          </w:p>
        </w:tc>
      </w:tr>
    </w:tbl>
    <w:p>
      <w:pPr>
        <w:pStyle w:val="Heading3"/>
        <w:spacing w:after="110" w:before="250"/>
      </w:pPr>
      <w:r>
        <w:rPr>
          <w:b/>
          <w:bCs/>
          <w:color w:val="000000"/>
          <w:sz w:val="21"/>
          <w:szCs w:val="21"/>
        </w:rPr>
        <w:t xml:space="preserve">Numbers you can say out loud</w:t>
      </w:r>
    </w:p>
    <w:p>
      <w:pPr>
        <w:spacing w:after="140" w:before="0" w:line="264"/>
      </w:pPr>
      <w:r>
        <w:t xml:space="preserve">Each one gets its source named in the same breath. If a number is not on this list with a source, do not say it on the call.</w:t>
      </w:r>
    </w:p>
    <w:p>
      <w:pPr>
        <w:pStyle w:val="ListParagraph"/>
        <w:numPr>
          <w:ilvl w:val="0"/>
          <w:numId w:val="1"/>
        </w:numPr>
        <w:spacing w:after="90" w:line="264"/>
      </w:pPr>
      <w:r>
        <w:t xml:space="preserve">45% of US consumers used AI tools to find local businesses last year, up from 6% the year before. BrightLocal, 2026.</w:t>
      </w:r>
    </w:p>
    <w:p>
      <w:pPr>
        <w:pStyle w:val="ListParagraph"/>
        <w:numPr>
          <w:ilvl w:val="0"/>
          <w:numId w:val="1"/>
        </w:numPr>
        <w:spacing w:after="90" w:line="264"/>
      </w:pPr>
      <w:r>
        <w:t xml:space="preserve">AI answers surface roughly three times fewer distinct businesses than traditional results. Sterling Sky and Places Scout, 322-market study.</w:t>
      </w:r>
    </w:p>
    <w:p>
      <w:pPr>
        <w:pStyle w:val="ListParagraph"/>
        <w:numPr>
          <w:ilvl w:val="0"/>
          <w:numId w:val="1"/>
        </w:numPr>
        <w:spacing w:after="90" w:line="264"/>
      </w:pPr>
      <w:r>
        <w:t xml:space="preserve">Google shows an AI answer on roughly two of every three local-business searches. Whitespark, 2025. Do not attach the word "informational" to that figure. Informational queries are a separate and much higher number.</w:t>
      </w:r>
    </w:p>
    <w:p>
      <w:pPr>
        <w:pStyle w:val="ListParagraph"/>
        <w:numPr>
          <w:ilvl w:val="0"/>
          <w:numId w:val="1"/>
        </w:numPr>
        <w:spacing w:after="90" w:line="264"/>
      </w:pPr>
      <w:r>
        <w:t xml:space="preserve">Repeat runs of the same query swap out the large majority of the sources behind the answer. SE Ranking, AI Mode volatility test.</w:t>
      </w:r>
    </w:p>
    <w:p>
      <w:pPr>
        <w:pStyle w:val="ListParagraph"/>
        <w:numPr>
          <w:ilvl w:val="0"/>
          <w:numId w:val="1"/>
        </w:numPr>
        <w:spacing w:after="90" w:line="264"/>
      </w:pPr>
      <w:r>
        <w:t xml:space="preserve">Where AI cites third parties in home services, Yelp is far and away the most-cited directory. Foundation Marketing and AirOps, Q4 2025.</w:t>
      </w:r>
    </w:p>
    <w:p>
      <w:pPr>
        <w:pStyle w:val="Heading1"/>
        <w:pBdr>
          <w:bottom w:val="single" w:color="D9D9D9" w:sz="6" w:space="6"/>
        </w:pBdr>
        <w:spacing w:after="170" w:before="380"/>
      </w:pPr>
      <w:r>
        <w:rPr>
          <w:b/>
          <w:bCs/>
          <w:color w:val="1F3864"/>
          <w:sz w:val="30"/>
          <w:szCs w:val="30"/>
        </w:rPr>
        <w:t xml:space="preserve">3. The path to actually close</w:t>
      </w:r>
    </w:p>
    <w:p>
      <w:pPr>
        <w:pStyle w:val="Heading2"/>
        <w:spacing w:after="130" w:before="300"/>
      </w:pPr>
      <w:r>
        <w:rPr>
          <w:b/>
          <w:bCs/>
          <w:color w:val="1F3864"/>
          <w:sz w:val="24"/>
          <w:szCs w:val="24"/>
        </w:rPr>
        <w:t xml:space="preserve">3.1  What a "yes" actually is</w:t>
      </w:r>
    </w:p>
    <w:p>
      <w:pPr>
        <w:spacing w:after="140" w:before="0" w:line="264"/>
      </w:pPr>
      <w:r>
        <w:t xml:space="preserve">Not a nod. Not "send me something." A close is four things, and if any one is missing we have a warm prospect, not a client:</w:t>
      </w:r>
    </w:p>
    <w:p>
      <w:pPr>
        <w:pStyle w:val="ListParagraph"/>
        <w:numPr>
          <w:ilvl w:val="0"/>
          <w:numId w:val="1"/>
        </w:numPr>
        <w:spacing w:after="90" w:line="264"/>
      </w:pPr>
      <w:r>
        <w:t xml:space="preserve">Signed services agreement.</w:t>
      </w:r>
    </w:p>
    <w:p>
      <w:pPr>
        <w:pStyle w:val="ListParagraph"/>
        <w:numPr>
          <w:ilvl w:val="0"/>
          <w:numId w:val="1"/>
        </w:numPr>
        <w:spacing w:after="90" w:line="264"/>
      </w:pPr>
      <w:r>
        <w:t xml:space="preserve">Deposit cleared, not invoiced. Cleared.</w:t>
      </w:r>
    </w:p>
    <w:p>
      <w:pPr>
        <w:pStyle w:val="ListParagraph"/>
        <w:numPr>
          <w:ilvl w:val="0"/>
          <w:numId w:val="1"/>
        </w:numPr>
        <w:spacing w:after="90" w:line="264"/>
      </w:pPr>
      <w:r>
        <w:t xml:space="preserve">Kickoff booked on the calendar, ideally live on the call.</w:t>
      </w:r>
    </w:p>
    <w:p>
      <w:pPr>
        <w:pStyle w:val="ListParagraph"/>
        <w:numPr>
          <w:ilvl w:val="0"/>
          <w:numId w:val="1"/>
        </w:numPr>
        <w:spacing w:after="90" w:line="264"/>
      </w:pPr>
      <w:r>
        <w:t xml:space="preserve">Fact sheet template sent.</w:t>
      </w:r>
    </w:p>
    <w:p>
      <w:pPr>
        <w:spacing w:after="140" w:before="0" w:line="264"/>
      </w:pPr>
      <w:r>
        <w:t xml:space="preserve">Write those four on a card. At the end of the meeting you either have them or you know which one you are chasing.</w:t>
      </w:r>
    </w:p>
    <w:p>
      <w:pPr>
        <w:pStyle w:val="Heading2"/>
        <w:spacing w:after="130" w:before="300"/>
      </w:pPr>
      <w:r>
        <w:rPr>
          <w:b/>
          <w:bCs/>
          <w:color w:val="1F3864"/>
          <w:sz w:val="24"/>
          <w:szCs w:val="24"/>
        </w:rPr>
        <w:t xml:space="preserve">3.2  What must exist before money can move</w:t>
      </w:r>
    </w:p>
    <w:p>
      <w:pPr>
        <w:spacing w:after="140" w:before="0" w:line="264"/>
      </w:pPr>
      <w:r>
        <w:t xml:space="preserve">Four items. Two of them are decisions we have been deferring, and they are now on the critical path.</w:t>
      </w:r>
    </w:p>
    <w:p>
      <w:pPr>
        <w:pStyle w:val="Heading3"/>
        <w:spacing w:after="110" w:before="250"/>
      </w:pPr>
      <w:r>
        <w:rPr>
          <w:b/>
          <w:bCs/>
          <w:color w:val="000000"/>
          <w:sz w:val="21"/>
          <w:szCs w:val="21"/>
        </w:rPr>
        <w:t xml:space="preserve">(a)  A counterparty to sign as</w:t>
      </w:r>
    </w:p>
    <w:p>
      <w:pPr>
        <w:spacing w:after="140" w:before="0" w:line="264"/>
      </w:pPr>
      <w:r>
        <w:t xml:space="preserve">Josh and Abhi operating together is, by default and with no filing, a California general partnership. Two consequences. We can sign a contract this week without forming anything. And each of us is personally liable for the other's business acts until we do form something.</w:t>
      </w:r>
    </w:p>
    <w:p>
      <w:pPr>
        <w:spacing w:after="140" w:before="0" w:line="264"/>
      </w:pPr>
      <w:r>
        <w:t xml:space="preserve">Practical path for Friday: contract as the two of us, with the brand as a d/b/a once the name is decided. Form the LLC once this deal and the next one are real. The reason to wait is cost, roughly $70 to file plus California's $800 a year minimum franchise tax, and the first-year exemption has expired. Entity choice and a founders agreement are worth an hour of a lawyer's time, once, reusable.</w:t>
      </w:r>
    </w:p>
    <w:p>
      <w:pPr>
        <w:pStyle w:val="Heading3"/>
        <w:spacing w:after="110" w:before="250"/>
      </w:pPr>
      <w:r>
        <w:rPr>
          <w:b/>
          <w:bCs/>
          <w:color w:val="000000"/>
          <w:sz w:val="21"/>
          <w:szCs w:val="21"/>
        </w:rPr>
        <w:t xml:space="preserve">(b)  The brand name  —  the actual blocker</w:t>
      </w:r>
    </w:p>
    <w:p>
      <w:pPr>
        <w:spacing w:after="140" w:before="0" w:line="264"/>
      </w:pPr>
      <w:r>
        <w:rPr>
          <w:b/>
          <w:bCs/>
          <w:color w:val="8A5A00"/>
        </w:rPr>
        <w:t xml:space="preserve">This is the item that quietly gates everything else. </w:t>
      </w:r>
      <w:r>
        <w:t xml:space="preserve">It decides the domain and the email address the contract arrives from, whose name appears on the agreement, the DBA filing, the bank account name, the invoice, and every [Brand] placeholder still sitting on our live website, which this client will visit before Friday.</w:t>
      </w:r>
    </w:p>
    <w:p>
      <w:pPr>
        <w:spacing w:after="140" w:before="0" w:line="264"/>
      </w:pPr>
      <w:r>
        <w:t xml:space="preserve">If we contract or bank under a brand rather than our legal names, that is a Fictitious Business Name filing with Alameda County, within 40 days of first use, plus newspaper publication, roughly $150 all in. Banks generally want the stamped DBA before they will open a brand-name account. None of that blocks Friday. All of it blocks the invoice looking like it came from a company.</w:t>
      </w:r>
    </w:p>
    <w:p>
      <w:pPr>
        <w:pStyle w:val="Heading3"/>
        <w:spacing w:after="110" w:before="250"/>
      </w:pPr>
      <w:r>
        <w:rPr>
          <w:b/>
          <w:bCs/>
          <w:color w:val="000000"/>
          <w:sz w:val="21"/>
          <w:szCs w:val="21"/>
        </w:rPr>
        <w:t xml:space="preserve">(c)  A signed services agreement</w:t>
      </w:r>
    </w:p>
    <w:p>
      <w:pPr>
        <w:spacing w:after="140" w:before="0" w:line="264"/>
      </w:pPr>
      <w:r>
        <w:t xml:space="preserve">Start from a reputable template, then one lawyer review of three clauses. Reusable across every client after this one, so it is a one-time cost, not a per-deal cost.</w:t>
      </w:r>
    </w:p>
    <w:p>
      <w:pPr>
        <w:spacing w:after="140" w:before="0" w:line="264"/>
      </w:pPr>
      <w:r>
        <w:rPr>
          <w:b/>
          <w:bCs/>
        </w:rPr>
        <w:t xml:space="preserve">Must contain:</w:t>
      </w:r>
    </w:p>
    <w:p>
      <w:pPr>
        <w:pStyle w:val="ListParagraph"/>
        <w:numPr>
          <w:ilvl w:val="0"/>
          <w:numId w:val="1"/>
        </w:numPr>
        <w:spacing w:after="90" w:line="264"/>
      </w:pPr>
      <w:r>
        <w:rPr>
          <w:b/>
          <w:bCs/>
        </w:rPr>
        <w:t xml:space="preserve">Scope and deliverables, split by phase. </w:t>
      </w:r>
      <w:r>
        <w:t xml:space="preserve">The build (pages, what is in and what is out) and the measurement (query set size, engines, runs per query, cadence, what the report contains).</w:t>
      </w:r>
    </w:p>
    <w:p>
      <w:pPr>
        <w:pStyle w:val="ListParagraph"/>
        <w:numPr>
          <w:ilvl w:val="0"/>
          <w:numId w:val="1"/>
        </w:numPr>
        <w:spacing w:after="90" w:line="264"/>
      </w:pPr>
      <w:r>
        <w:rPr>
          <w:b/>
          <w:bCs/>
        </w:rPr>
        <w:t xml:space="preserve">Explicitly out of scope. </w:t>
      </w:r>
      <w:r>
        <w:t xml:space="preserve">Ongoing content production, paid media, brand identity design, e-commerce. Naming these prevents the slow scope bleed that kills the margin on a first client.</w:t>
      </w:r>
    </w:p>
    <w:p>
      <w:pPr>
        <w:pStyle w:val="ListParagraph"/>
        <w:numPr>
          <w:ilvl w:val="0"/>
          <w:numId w:val="1"/>
        </w:numPr>
        <w:spacing w:after="90" w:line="264"/>
      </w:pPr>
      <w:r>
        <w:rPr>
          <w:b/>
          <w:bCs/>
        </w:rPr>
        <w:t xml:space="preserve">Fees and payment terms. </w:t>
      </w:r>
      <w:r>
        <w:t xml:space="preserve">Deposit before work starts, milestones or monthly, net terms, and what happens on late payment.</w:t>
      </w:r>
    </w:p>
    <w:p>
      <w:pPr>
        <w:pStyle w:val="ListParagraph"/>
        <w:numPr>
          <w:ilvl w:val="0"/>
          <w:numId w:val="1"/>
        </w:numPr>
        <w:spacing w:after="90" w:line="264"/>
      </w:pPr>
      <w:r>
        <w:rPr>
          <w:b/>
          <w:bCs/>
        </w:rPr>
        <w:t xml:space="preserve">Term and termination, </w:t>
      </w:r>
      <w:r>
        <w:t xml:space="preserve">with a notice period and what happens to work in flight.</w:t>
      </w:r>
    </w:p>
    <w:p>
      <w:pPr>
        <w:pStyle w:val="ListParagraph"/>
        <w:numPr>
          <w:ilvl w:val="0"/>
          <w:numId w:val="1"/>
        </w:numPr>
        <w:spacing w:after="90" w:line="264"/>
      </w:pPr>
      <w:r>
        <w:rPr>
          <w:b/>
          <w:bCs/>
        </w:rPr>
        <w:t xml:space="preserve">IP. </w:t>
      </w:r>
      <w:r>
        <w:t xml:space="preserve">Everything transfers to the client on payment. We keep the measurement platform.</w:t>
      </w:r>
    </w:p>
    <w:p>
      <w:pPr>
        <w:pStyle w:val="ListParagraph"/>
        <w:numPr>
          <w:ilvl w:val="0"/>
          <w:numId w:val="1"/>
        </w:numPr>
        <w:spacing w:after="90" w:line="264"/>
      </w:pPr>
      <w:r>
        <w:rPr>
          <w:b/>
          <w:bCs/>
        </w:rPr>
        <w:t xml:space="preserve">Limitation of liability, capped at fees paid. </w:t>
      </w:r>
      <w:r>
        <w:t xml:space="preserve">Lawyer reviews this one.</w:t>
      </w:r>
    </w:p>
    <w:p>
      <w:pPr>
        <w:pStyle w:val="ListParagraph"/>
        <w:numPr>
          <w:ilvl w:val="0"/>
          <w:numId w:val="1"/>
        </w:numPr>
        <w:spacing w:after="90" w:line="264"/>
      </w:pPr>
      <w:r>
        <w:rPr>
          <w:b/>
          <w:bCs/>
        </w:rPr>
        <w:t xml:space="preserve">No guarantee of results, and a warranty disclaimer. </w:t>
      </w:r>
      <w:r>
        <w:t xml:space="preserve">Lawyer reviews this one too. It is also our strongest answer to objection 1.4, so we should be willing to show it to them.</w:t>
      </w:r>
    </w:p>
    <w:p>
      <w:pPr>
        <w:pStyle w:val="ListParagraph"/>
        <w:numPr>
          <w:ilvl w:val="0"/>
          <w:numId w:val="1"/>
        </w:numPr>
        <w:spacing w:after="90" w:line="264"/>
      </w:pPr>
      <w:r>
        <w:rPr>
          <w:b/>
          <w:bCs/>
        </w:rPr>
        <w:t xml:space="preserve">Client responsibilities. </w:t>
      </w:r>
      <w:r>
        <w:t xml:space="preserve">Fact sheet, asset delivery, and a review turnaround commitment. Without this the timeline is not defensible when it slips.</w:t>
      </w:r>
    </w:p>
    <w:p>
      <w:pPr>
        <w:pStyle w:val="ListParagraph"/>
        <w:numPr>
          <w:ilvl w:val="0"/>
          <w:numId w:val="1"/>
        </w:numPr>
        <w:spacing w:after="90" w:line="264"/>
      </w:pPr>
      <w:r>
        <w:rPr>
          <w:b/>
          <w:bCs/>
        </w:rPr>
        <w:t xml:space="preserve">Case study and testimonial permission, </w:t>
      </w:r>
      <w:r>
        <w:t xml:space="preserve">if we are pricing this as a pilot. Ask for it here. Nobody grants it enthusiastically six months later.</w:t>
      </w:r>
    </w:p>
    <w:p>
      <w:pPr>
        <w:pStyle w:val="ListParagraph"/>
        <w:numPr>
          <w:ilvl w:val="0"/>
          <w:numId w:val="1"/>
        </w:numPr>
        <w:spacing w:after="90" w:line="264"/>
      </w:pPr>
      <w:r>
        <w:rPr>
          <w:b/>
          <w:bCs/>
        </w:rPr>
        <w:t xml:space="preserve">Confidentiality, both directions.</w:t>
      </w:r>
    </w:p>
    <w:p>
      <w:pPr>
        <w:pStyle w:val="Heading3"/>
        <w:spacing w:after="110" w:before="250"/>
      </w:pPr>
      <w:r>
        <w:rPr>
          <w:b/>
          <w:bCs/>
          <w:color w:val="000000"/>
          <w:sz w:val="21"/>
          <w:szCs w:val="21"/>
        </w:rPr>
        <w:t xml:space="preserve">(d)  Something to invoice from, and somewhere for the money to land</w:t>
      </w:r>
    </w:p>
    <w:p>
      <w:pPr>
        <w:pStyle w:val="ListParagraph"/>
        <w:numPr>
          <w:ilvl w:val="0"/>
          <w:numId w:val="1"/>
        </w:numPr>
        <w:spacing w:after="90" w:line="264"/>
      </w:pPr>
      <w:r>
        <w:rPr>
          <w:b/>
          <w:bCs/>
        </w:rPr>
        <w:t xml:space="preserve">EIN. </w:t>
      </w:r>
      <w:r>
        <w:t xml:space="preserve">Free from the IRS, same day, online. Get it before Friday. Use it on payment platforms and W-9s instead of a personal SSN.</w:t>
      </w:r>
    </w:p>
    <w:p>
      <w:pPr>
        <w:pStyle w:val="ListParagraph"/>
        <w:numPr>
          <w:ilvl w:val="0"/>
          <w:numId w:val="1"/>
        </w:numPr>
        <w:spacing w:after="90" w:line="264"/>
      </w:pPr>
      <w:r>
        <w:rPr>
          <w:b/>
          <w:bCs/>
        </w:rPr>
        <w:t xml:space="preserve">Payment rail. </w:t>
      </w:r>
      <w:r>
        <w:t xml:space="preserve">Stripe or PayPal as an individual or sole proprietor works today, no LLC required. Invoicing and ACH supported. This can be live before the call, and it should be.</w:t>
      </w:r>
    </w:p>
    <w:p>
      <w:pPr>
        <w:pStyle w:val="ListParagraph"/>
        <w:numPr>
          <w:ilvl w:val="0"/>
          <w:numId w:val="1"/>
        </w:numPr>
        <w:spacing w:after="90" w:line="264"/>
      </w:pPr>
      <w:r>
        <w:rPr>
          <w:b/>
          <w:bCs/>
        </w:rPr>
        <w:t xml:space="preserve">Business bank account. </w:t>
      </w:r>
      <w:r>
        <w:t xml:space="preserve">Needs the EIN, plus the stamped DBA if the account is in the brand name. Separate from personal from day one. Commingling is what turns tax season into a forensic exercise.</w:t>
      </w:r>
    </w:p>
    <w:p>
      <w:pPr>
        <w:pStyle w:val="ListParagraph"/>
        <w:numPr>
          <w:ilvl w:val="0"/>
          <w:numId w:val="1"/>
        </w:numPr>
        <w:spacing w:after="90" w:line="264"/>
      </w:pPr>
      <w:r>
        <w:rPr>
          <w:b/>
          <w:bCs/>
        </w:rPr>
        <w:t xml:space="preserve">Berkeley business license. </w:t>
      </w:r>
      <w:r>
        <w:t xml:space="preserve">Required within 30 days of commencing business activity, roughly $76 a year for a small service business, plus a home occupation permit if we operate from home. Confirm what counts as "commencing" with Berkeley Finance directly. Not a blocker to signing. It is a blocker to being clean 30 days after.</w:t>
      </w:r>
    </w:p>
    <w:p>
      <w:pPr>
        <w:pStyle w:val="ListParagraph"/>
        <w:numPr>
          <w:ilvl w:val="0"/>
          <w:numId w:val="1"/>
        </w:numPr>
        <w:spacing w:after="90" w:line="264"/>
      </w:pPr>
      <w:r>
        <w:rPr>
          <w:b/>
          <w:bCs/>
        </w:rPr>
        <w:t xml:space="preserve">E&amp;O insurance. </w:t>
      </w:r>
      <w:r>
        <w:t xml:space="preserve">Not needed for deal one. Buy it when a client contract demands a certificate.</w:t>
      </w:r>
    </w:p>
    <w:p>
      <w:pPr>
        <w:pStyle w:val="ListParagraph"/>
        <w:numPr>
          <w:ilvl w:val="0"/>
          <w:numId w:val="1"/>
        </w:numPr>
        <w:spacing w:after="90" w:line="264"/>
      </w:pPr>
      <w:r>
        <w:rPr>
          <w:b/>
          <w:bCs/>
        </w:rPr>
        <w:t xml:space="preserve">Taxes. </w:t>
      </w:r>
      <w:r>
        <w:t xml:space="preserve">Set aside 25 to 30% of net from the first dollar. Quarterly estimates if we will owe over $1,000.</w:t>
      </w:r>
    </w:p>
    <w:p>
      <w:pPr>
        <w:pStyle w:val="Heading2"/>
        <w:spacing w:after="130" w:before="300"/>
      </w:pPr>
      <w:r>
        <w:rPr>
          <w:b/>
          <w:bCs/>
          <w:color w:val="1F3864"/>
          <w:sz w:val="24"/>
          <w:szCs w:val="24"/>
        </w:rPr>
        <w:t xml:space="preserve">3.3  The close sequence, on the call</w:t>
      </w:r>
    </w:p>
    <w:p>
      <w:pPr>
        <w:pStyle w:val="ListParagraph"/>
        <w:numPr>
          <w:ilvl w:val="0"/>
          <w:numId w:val="1"/>
        </w:numPr>
        <w:spacing w:after="90" w:line="264"/>
      </w:pPr>
      <w:r>
        <w:rPr>
          <w:b/>
          <w:bCs/>
        </w:rPr>
        <w:t xml:space="preserve">Land the finding, verbatim. </w:t>
      </w:r>
      <w:r>
        <w:t xml:space="preserve">Read what the engine said. Do not characterise it. Let the silence sit.</w:t>
      </w:r>
    </w:p>
    <w:p>
      <w:pPr>
        <w:pStyle w:val="ListParagraph"/>
        <w:numPr>
          <w:ilvl w:val="0"/>
          <w:numId w:val="1"/>
        </w:numPr>
        <w:spacing w:after="90" w:line="264"/>
      </w:pPr>
      <w:r>
        <w:rPr>
          <w:b/>
          <w:bCs/>
        </w:rPr>
        <w:t xml:space="preserve">Name the cause. </w:t>
      </w:r>
      <w:r>
        <w:t xml:space="preserve">Nothing retrievable about them exists. The ones named instead have pages that answer that exact question.</w:t>
      </w:r>
    </w:p>
    <w:p>
      <w:pPr>
        <w:pStyle w:val="ListParagraph"/>
        <w:numPr>
          <w:ilvl w:val="0"/>
          <w:numId w:val="1"/>
        </w:numPr>
        <w:spacing w:after="90" w:line="264"/>
      </w:pPr>
      <w:r>
        <w:rPr>
          <w:b/>
          <w:bCs/>
        </w:rPr>
        <w:t xml:space="preserve">Walk the build in under three minutes. </w:t>
      </w:r>
      <w:r>
        <w:t xml:space="preserve">Spend the time on the AI-native step, which is the differentiator, and almost none on the build step, which every agency claims.</w:t>
      </w:r>
    </w:p>
    <w:p>
      <w:pPr>
        <w:pStyle w:val="ListParagraph"/>
        <w:numPr>
          <w:ilvl w:val="0"/>
          <w:numId w:val="1"/>
        </w:numPr>
        <w:spacing w:after="90" w:line="264"/>
      </w:pPr>
      <w:r>
        <w:rPr>
          <w:b/>
          <w:bCs/>
        </w:rPr>
        <w:t xml:space="preserve">Walk the measurement loop, including what we will not promise. </w:t>
      </w:r>
      <w:r>
        <w:t xml:space="preserve">Say the honesty block out loud. It does more work than any capability claim we have.</w:t>
      </w:r>
    </w:p>
    <w:p>
      <w:pPr>
        <w:pStyle w:val="ListParagraph"/>
        <w:numPr>
          <w:ilvl w:val="0"/>
          <w:numId w:val="1"/>
        </w:numPr>
        <w:spacing w:after="90" w:line="264"/>
      </w:pPr>
      <w:r>
        <w:rPr>
          <w:b/>
          <w:bCs/>
        </w:rPr>
        <w:t xml:space="preserve">Take the objections. </w:t>
      </w:r>
      <w:r>
        <w:t xml:space="preserve">Section 1. Short answer first, then stop.</w:t>
      </w:r>
    </w:p>
    <w:p>
      <w:pPr>
        <w:pStyle w:val="ListParagraph"/>
        <w:numPr>
          <w:ilvl w:val="0"/>
          <w:numId w:val="1"/>
        </w:numPr>
        <w:spacing w:after="90" w:line="264"/>
      </w:pPr>
      <w:r>
        <w:rPr>
          <w:b/>
          <w:bCs/>
        </w:rPr>
        <w:t xml:space="preserve">Hand over one free quick win, unconditionally. </w:t>
      </w:r>
      <w:r>
        <w:t xml:space="preserve">Something they can do today whether or not they hire us. It costs us nothing and it is reliably the most-remembered part of the meeting.</w:t>
      </w:r>
    </w:p>
    <w:p>
      <w:pPr>
        <w:pStyle w:val="ListParagraph"/>
        <w:numPr>
          <w:ilvl w:val="0"/>
          <w:numId w:val="1"/>
        </w:numPr>
        <w:spacing w:after="90" w:line="264"/>
      </w:pPr>
      <w:r>
        <w:rPr>
          <w:b/>
          <w:bCs/>
        </w:rPr>
        <w:t xml:space="preserve">Make one specific ask with a date on it. </w:t>
      </w:r>
      <w:r>
        <w:t xml:space="preserve">"I will send the agreement today. Sign by [date] and we start [date], with the site live by [date]." Never end a call on "let us know."</w:t>
      </w:r>
    </w:p>
    <w:p>
      <w:pPr>
        <w:pStyle w:val="ListParagraph"/>
        <w:numPr>
          <w:ilvl w:val="0"/>
          <w:numId w:val="1"/>
        </w:numPr>
        <w:spacing w:after="90" w:line="264"/>
      </w:pPr>
      <w:r>
        <w:rPr>
          <w:b/>
          <w:bCs/>
        </w:rPr>
        <w:t xml:space="preserve">Confirm the mechanics before hanging up. </w:t>
      </w:r>
      <w:r>
        <w:t xml:space="preserve">Who signs. Which email the agreement goes to. Which email the invoice goes to. Deposit amount and date. And book the kickoff slot live, on the call, while you have them.</w:t>
      </w:r>
    </w:p>
    <w:p>
      <w:pPr>
        <w:pStyle w:val="Heading2"/>
        <w:spacing w:after="130" w:before="300"/>
      </w:pPr>
      <w:r>
        <w:rPr>
          <w:b/>
          <w:bCs/>
          <w:color w:val="1F3864"/>
          <w:sz w:val="24"/>
          <w:szCs w:val="24"/>
        </w:rPr>
        <w:t xml:space="preserve">3.4  Two weeks from call to work started</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5460"/>
        <w:gridCol w:w="2200"/>
      </w:tblGrid>
      <w:tr>
        <w:trPr>
          <w:tblHeader/>
        </w:trPr>
        <w:tc>
          <w:tcPr>
            <w:tcW w:type="dxa" w:w="1700"/>
            <w:shd w:fill="F2F2F2" w:color="auto" w:val="clear"/>
            <w:tcMar>
              <w:top w:type="dxa" w:w="80"/>
              <w:left w:type="dxa" w:w="120"/>
              <w:bottom w:type="dxa" w:w="80"/>
              <w:right w:type="dxa" w:w="120"/>
            </w:tcMar>
          </w:tcPr>
          <w:p>
            <w:pPr>
              <w:spacing w:after="0" w:line="250"/>
            </w:pPr>
            <w:r>
              <w:rPr>
                <w:b/>
                <w:bCs/>
                <w:color w:val="1F3864"/>
                <w:sz w:val="19"/>
                <w:szCs w:val="19"/>
              </w:rPr>
              <w:t xml:space="preserve">When</w:t>
            </w:r>
          </w:p>
        </w:tc>
        <w:tc>
          <w:tcPr>
            <w:tcW w:type="dxa" w:w="5460"/>
            <w:shd w:fill="F2F2F2" w:color="auto" w:val="clear"/>
            <w:tcMar>
              <w:top w:type="dxa" w:w="80"/>
              <w:left w:type="dxa" w:w="120"/>
              <w:bottom w:type="dxa" w:w="80"/>
              <w:right w:type="dxa" w:w="120"/>
            </w:tcMar>
          </w:tcPr>
          <w:p>
            <w:pPr>
              <w:spacing w:after="0" w:line="250"/>
            </w:pPr>
            <w:r>
              <w:rPr>
                <w:b/>
                <w:bCs/>
                <w:color w:val="1F3864"/>
                <w:sz w:val="19"/>
                <w:szCs w:val="19"/>
              </w:rPr>
              <w:t xml:space="preserve">What</w:t>
            </w:r>
          </w:p>
        </w:tc>
        <w:tc>
          <w:tcPr>
            <w:tcW w:type="dxa" w:w="2200"/>
            <w:shd w:fill="F2F2F2" w:color="auto" w:val="clear"/>
            <w:tcMar>
              <w:top w:type="dxa" w:w="80"/>
              <w:left w:type="dxa" w:w="120"/>
              <w:bottom w:type="dxa" w:w="80"/>
              <w:right w:type="dxa" w:w="120"/>
            </w:tcMar>
          </w:tcPr>
          <w:p>
            <w:pPr>
              <w:spacing w:after="0" w:line="250"/>
            </w:pPr>
            <w:r>
              <w:rPr>
                <w:b/>
                <w:bCs/>
                <w:color w:val="1F3864"/>
                <w:sz w:val="19"/>
                <w:szCs w:val="19"/>
              </w:rPr>
              <w:t xml:space="preserve">Owner</w:t>
            </w:r>
          </w:p>
        </w:tc>
      </w:tr>
      <w:tr>
        <w:tc>
          <w:tcPr>
            <w:tcW w:type="dxa" w:w="1700"/>
            <w:tcMar>
              <w:top w:type="dxa" w:w="80"/>
              <w:left w:type="dxa" w:w="120"/>
              <w:bottom w:type="dxa" w:w="80"/>
              <w:right w:type="dxa" w:w="120"/>
            </w:tcMar>
          </w:tcPr>
          <w:p>
            <w:pPr>
              <w:spacing w:after="0" w:line="250"/>
            </w:pPr>
            <w:r>
              <w:rPr>
                <w:sz w:val="19"/>
                <w:szCs w:val="19"/>
              </w:rPr>
              <w:t xml:space="preserve">Before Friday</w:t>
            </w:r>
          </w:p>
        </w:tc>
        <w:tc>
          <w:tcPr>
            <w:tcW w:type="dxa" w:w="5460"/>
            <w:tcMar>
              <w:top w:type="dxa" w:w="80"/>
              <w:left w:type="dxa" w:w="120"/>
              <w:bottom w:type="dxa" w:w="80"/>
              <w:right w:type="dxa" w:w="120"/>
            </w:tcMar>
          </w:tcPr>
          <w:p>
            <w:pPr>
              <w:spacing w:after="0" w:line="250"/>
            </w:pPr>
            <w:r>
              <w:rPr>
                <w:sz w:val="19"/>
                <w:szCs w:val="19"/>
              </w:rPr>
              <w:t xml:space="preserve">Section 4 checklist. Queries run and screenshotted, baseline stored and date-stamped, brand and prices decided, EIN in hand, payment rail live, agreement drafted.</w:t>
            </w:r>
          </w:p>
        </w:tc>
        <w:tc>
          <w:tcPr>
            <w:tcW w:type="dxa" w:w="2200"/>
            <w:tcMar>
              <w:top w:type="dxa" w:w="80"/>
              <w:left w:type="dxa" w:w="120"/>
              <w:bottom w:type="dxa" w:w="80"/>
              <w:right w:type="dxa" w:w="120"/>
            </w:tcMar>
          </w:tcPr>
          <w:p>
            <w:pPr>
              <w:spacing w:after="0" w:line="250"/>
            </w:pPr>
            <w:r>
              <w:rPr>
                <w:sz w:val="19"/>
                <w:szCs w:val="19"/>
              </w:rPr>
              <w:t xml:space="preserve">Both</w:t>
            </w:r>
          </w:p>
        </w:tc>
      </w:tr>
      <w:tr>
        <w:tc>
          <w:tcPr>
            <w:tcW w:type="dxa" w:w="1700"/>
            <w:tcMar>
              <w:top w:type="dxa" w:w="80"/>
              <w:left w:type="dxa" w:w="120"/>
              <w:bottom w:type="dxa" w:w="80"/>
              <w:right w:type="dxa" w:w="120"/>
            </w:tcMar>
          </w:tcPr>
          <w:p>
            <w:pPr>
              <w:spacing w:after="0" w:line="250"/>
            </w:pPr>
            <w:r>
              <w:rPr>
                <w:sz w:val="19"/>
                <w:szCs w:val="19"/>
              </w:rPr>
              <w:t xml:space="preserve">Day 0, Friday</w:t>
            </w:r>
          </w:p>
        </w:tc>
        <w:tc>
          <w:tcPr>
            <w:tcW w:type="dxa" w:w="5460"/>
            <w:tcMar>
              <w:top w:type="dxa" w:w="80"/>
              <w:left w:type="dxa" w:w="120"/>
              <w:bottom w:type="dxa" w:w="80"/>
              <w:right w:type="dxa" w:w="120"/>
            </w:tcMar>
          </w:tcPr>
          <w:p>
            <w:pPr>
              <w:spacing w:after="0" w:line="250"/>
            </w:pPr>
            <w:r>
              <w:rPr>
                <w:sz w:val="19"/>
                <w:szCs w:val="19"/>
              </w:rPr>
              <w:t xml:space="preserve">The call. Ask made with a date attached, kickoff slot held, invoice and signature mechanics confirmed out loud.</w:t>
            </w:r>
          </w:p>
        </w:tc>
        <w:tc>
          <w:tcPr>
            <w:tcW w:type="dxa" w:w="2200"/>
            <w:tcMar>
              <w:top w:type="dxa" w:w="80"/>
              <w:left w:type="dxa" w:w="120"/>
              <w:bottom w:type="dxa" w:w="80"/>
              <w:right w:type="dxa" w:w="120"/>
            </w:tcMar>
          </w:tcPr>
          <w:p>
            <w:pPr>
              <w:spacing w:after="0" w:line="250"/>
            </w:pPr>
            <w:r>
              <w:rPr>
                <w:sz w:val="19"/>
                <w:szCs w:val="19"/>
              </w:rPr>
              <w:t xml:space="preserve">Josh</w:t>
            </w:r>
          </w:p>
        </w:tc>
      </w:tr>
      <w:tr>
        <w:tc>
          <w:tcPr>
            <w:tcW w:type="dxa" w:w="1700"/>
            <w:tcMar>
              <w:top w:type="dxa" w:w="80"/>
              <w:left w:type="dxa" w:w="120"/>
              <w:bottom w:type="dxa" w:w="80"/>
              <w:right w:type="dxa" w:w="120"/>
            </w:tcMar>
          </w:tcPr>
          <w:p>
            <w:pPr>
              <w:spacing w:after="0" w:line="250"/>
            </w:pPr>
            <w:r>
              <w:rPr>
                <w:sz w:val="19"/>
                <w:szCs w:val="19"/>
              </w:rPr>
              <w:t xml:space="preserve">Day 0, same day</w:t>
            </w:r>
          </w:p>
        </w:tc>
        <w:tc>
          <w:tcPr>
            <w:tcW w:type="dxa" w:w="5460"/>
            <w:tcMar>
              <w:top w:type="dxa" w:w="80"/>
              <w:left w:type="dxa" w:w="120"/>
              <w:bottom w:type="dxa" w:w="80"/>
              <w:right w:type="dxa" w:w="120"/>
            </w:tcMar>
          </w:tcPr>
          <w:p>
            <w:pPr>
              <w:spacing w:after="0" w:line="250"/>
            </w:pPr>
            <w:r>
              <w:rPr>
                <w:sz w:val="19"/>
                <w:szCs w:val="19"/>
              </w:rPr>
              <w:t xml:space="preserve">Agreement and invoice sent within two hours of hanging up. Speed here is itself a signal about how we run projects.</w:t>
            </w:r>
          </w:p>
        </w:tc>
        <w:tc>
          <w:tcPr>
            <w:tcW w:type="dxa" w:w="2200"/>
            <w:tcMar>
              <w:top w:type="dxa" w:w="80"/>
              <w:left w:type="dxa" w:w="120"/>
              <w:bottom w:type="dxa" w:w="80"/>
              <w:right w:type="dxa" w:w="120"/>
            </w:tcMar>
          </w:tcPr>
          <w:p>
            <w:pPr>
              <w:spacing w:after="0" w:line="250"/>
            </w:pPr>
            <w:r>
              <w:rPr>
                <w:sz w:val="19"/>
                <w:szCs w:val="19"/>
              </w:rPr>
              <w:t xml:space="preserve">Josh</w:t>
            </w:r>
          </w:p>
        </w:tc>
      </w:tr>
      <w:tr>
        <w:tc>
          <w:tcPr>
            <w:tcW w:type="dxa" w:w="1700"/>
            <w:tcMar>
              <w:top w:type="dxa" w:w="80"/>
              <w:left w:type="dxa" w:w="120"/>
              <w:bottom w:type="dxa" w:w="80"/>
              <w:right w:type="dxa" w:w="120"/>
            </w:tcMar>
          </w:tcPr>
          <w:p>
            <w:pPr>
              <w:spacing w:after="0" w:line="250"/>
            </w:pPr>
            <w:r>
              <w:rPr>
                <w:sz w:val="19"/>
                <w:szCs w:val="19"/>
              </w:rPr>
              <w:t xml:space="preserve">Day 1 to 3</w:t>
            </w:r>
          </w:p>
        </w:tc>
        <w:tc>
          <w:tcPr>
            <w:tcW w:type="dxa" w:w="5460"/>
            <w:tcMar>
              <w:top w:type="dxa" w:w="80"/>
              <w:left w:type="dxa" w:w="120"/>
              <w:bottom w:type="dxa" w:w="80"/>
              <w:right w:type="dxa" w:w="120"/>
            </w:tcMar>
          </w:tcPr>
          <w:p>
            <w:pPr>
              <w:spacing w:after="0" w:line="250"/>
            </w:pPr>
            <w:r>
              <w:rPr>
                <w:sz w:val="19"/>
                <w:szCs w:val="19"/>
              </w:rPr>
              <w:t xml:space="preserve">One-page recap: the finding, the scope, the price, the dates, the free fix we handed over. Do not resend the deck.</w:t>
            </w:r>
          </w:p>
        </w:tc>
        <w:tc>
          <w:tcPr>
            <w:tcW w:type="dxa" w:w="2200"/>
            <w:tcMar>
              <w:top w:type="dxa" w:w="80"/>
              <w:left w:type="dxa" w:w="120"/>
              <w:bottom w:type="dxa" w:w="80"/>
              <w:right w:type="dxa" w:w="120"/>
            </w:tcMar>
          </w:tcPr>
          <w:p>
            <w:pPr>
              <w:spacing w:after="0" w:line="250"/>
            </w:pPr>
            <w:r>
              <w:rPr>
                <w:sz w:val="19"/>
                <w:szCs w:val="19"/>
              </w:rPr>
              <w:t xml:space="preserve">Josh</w:t>
            </w:r>
          </w:p>
        </w:tc>
      </w:tr>
      <w:tr>
        <w:tc>
          <w:tcPr>
            <w:tcW w:type="dxa" w:w="1700"/>
            <w:tcMar>
              <w:top w:type="dxa" w:w="80"/>
              <w:left w:type="dxa" w:w="120"/>
              <w:bottom w:type="dxa" w:w="80"/>
              <w:right w:type="dxa" w:w="120"/>
            </w:tcMar>
          </w:tcPr>
          <w:p>
            <w:pPr>
              <w:spacing w:after="0" w:line="250"/>
            </w:pPr>
            <w:r>
              <w:rPr>
                <w:sz w:val="19"/>
                <w:szCs w:val="19"/>
              </w:rPr>
              <w:t xml:space="preserve">Day 3 to 5</w:t>
            </w:r>
          </w:p>
        </w:tc>
        <w:tc>
          <w:tcPr>
            <w:tcW w:type="dxa" w:w="5460"/>
            <w:tcMar>
              <w:top w:type="dxa" w:w="80"/>
              <w:left w:type="dxa" w:w="120"/>
              <w:bottom w:type="dxa" w:w="80"/>
              <w:right w:type="dxa" w:w="120"/>
            </w:tcMar>
          </w:tcPr>
          <w:p>
            <w:pPr>
              <w:spacing w:after="0" w:line="250"/>
            </w:pPr>
            <w:r>
              <w:rPr>
                <w:sz w:val="19"/>
                <w:szCs w:val="19"/>
              </w:rPr>
              <w:t xml:space="preserve">Chase once, by phone. If they have gone quiet, ask the disqualifying question: is this a no, or a not yet? Both answers are useful. Silence is not.</w:t>
            </w:r>
          </w:p>
        </w:tc>
        <w:tc>
          <w:tcPr>
            <w:tcW w:type="dxa" w:w="2200"/>
            <w:tcMar>
              <w:top w:type="dxa" w:w="80"/>
              <w:left w:type="dxa" w:w="120"/>
              <w:bottom w:type="dxa" w:w="80"/>
              <w:right w:type="dxa" w:w="120"/>
            </w:tcMar>
          </w:tcPr>
          <w:p>
            <w:pPr>
              <w:spacing w:after="0" w:line="250"/>
            </w:pPr>
            <w:r>
              <w:rPr>
                <w:sz w:val="19"/>
                <w:szCs w:val="19"/>
              </w:rPr>
              <w:t xml:space="preserve">Josh</w:t>
            </w:r>
          </w:p>
        </w:tc>
      </w:tr>
      <w:tr>
        <w:tc>
          <w:tcPr>
            <w:tcW w:type="dxa" w:w="1700"/>
            <w:tcMar>
              <w:top w:type="dxa" w:w="80"/>
              <w:left w:type="dxa" w:w="120"/>
              <w:bottom w:type="dxa" w:w="80"/>
              <w:right w:type="dxa" w:w="120"/>
            </w:tcMar>
          </w:tcPr>
          <w:p>
            <w:pPr>
              <w:spacing w:after="0" w:line="250"/>
            </w:pPr>
            <w:r>
              <w:rPr>
                <w:sz w:val="19"/>
                <w:szCs w:val="19"/>
              </w:rPr>
              <w:t xml:space="preserve">Day 5 to 7</w:t>
            </w:r>
          </w:p>
        </w:tc>
        <w:tc>
          <w:tcPr>
            <w:tcW w:type="dxa" w:w="5460"/>
            <w:tcMar>
              <w:top w:type="dxa" w:w="80"/>
              <w:left w:type="dxa" w:w="120"/>
              <w:bottom w:type="dxa" w:w="80"/>
              <w:right w:type="dxa" w:w="120"/>
            </w:tcMar>
          </w:tcPr>
          <w:p>
            <w:pPr>
              <w:spacing w:after="0" w:line="250"/>
            </w:pPr>
            <w:r>
              <w:rPr>
                <w:sz w:val="19"/>
                <w:szCs w:val="19"/>
              </w:rPr>
              <w:t xml:space="preserve">Signature and deposit cleared. Fact sheet template sent the same hour.</w:t>
            </w:r>
          </w:p>
        </w:tc>
        <w:tc>
          <w:tcPr>
            <w:tcW w:type="dxa" w:w="2200"/>
            <w:tcMar>
              <w:top w:type="dxa" w:w="80"/>
              <w:left w:type="dxa" w:w="120"/>
              <w:bottom w:type="dxa" w:w="80"/>
              <w:right w:type="dxa" w:w="120"/>
            </w:tcMar>
          </w:tcPr>
          <w:p>
            <w:pPr>
              <w:spacing w:after="0" w:line="250"/>
            </w:pPr>
            <w:r>
              <w:rPr>
                <w:sz w:val="19"/>
                <w:szCs w:val="19"/>
              </w:rPr>
              <w:t xml:space="preserve">Josh</w:t>
            </w:r>
          </w:p>
        </w:tc>
      </w:tr>
      <w:tr>
        <w:tc>
          <w:tcPr>
            <w:tcW w:type="dxa" w:w="1700"/>
            <w:tcMar>
              <w:top w:type="dxa" w:w="80"/>
              <w:left w:type="dxa" w:w="120"/>
              <w:bottom w:type="dxa" w:w="80"/>
              <w:right w:type="dxa" w:w="120"/>
            </w:tcMar>
          </w:tcPr>
          <w:p>
            <w:pPr>
              <w:spacing w:after="0" w:line="250"/>
            </w:pPr>
            <w:r>
              <w:rPr>
                <w:sz w:val="19"/>
                <w:szCs w:val="19"/>
              </w:rPr>
              <w:t xml:space="preserve">Day 7</w:t>
            </w:r>
          </w:p>
        </w:tc>
        <w:tc>
          <w:tcPr>
            <w:tcW w:type="dxa" w:w="5460"/>
            <w:tcMar>
              <w:top w:type="dxa" w:w="80"/>
              <w:left w:type="dxa" w:w="120"/>
              <w:bottom w:type="dxa" w:w="80"/>
              <w:right w:type="dxa" w:w="120"/>
            </w:tcMar>
          </w:tcPr>
          <w:p>
            <w:pPr>
              <w:spacing w:after="0" w:line="250"/>
            </w:pPr>
            <w:r>
              <w:rPr>
                <w:sz w:val="19"/>
                <w:szCs w:val="19"/>
              </w:rPr>
              <w:t xml:space="preserve">Kickoff and intake call. Positioning, personas, competitors, service area, what the site has to do.</w:t>
            </w:r>
          </w:p>
        </w:tc>
        <w:tc>
          <w:tcPr>
            <w:tcW w:type="dxa" w:w="2200"/>
            <w:tcMar>
              <w:top w:type="dxa" w:w="80"/>
              <w:left w:type="dxa" w:w="120"/>
              <w:bottom w:type="dxa" w:w="80"/>
              <w:right w:type="dxa" w:w="120"/>
            </w:tcMar>
          </w:tcPr>
          <w:p>
            <w:pPr>
              <w:spacing w:after="0" w:line="250"/>
            </w:pPr>
            <w:r>
              <w:rPr>
                <w:sz w:val="19"/>
                <w:szCs w:val="19"/>
              </w:rPr>
              <w:t xml:space="preserve">Both</w:t>
            </w:r>
          </w:p>
        </w:tc>
      </w:tr>
      <w:tr>
        <w:tc>
          <w:tcPr>
            <w:tcW w:type="dxa" w:w="1700"/>
            <w:tcMar>
              <w:top w:type="dxa" w:w="80"/>
              <w:left w:type="dxa" w:w="120"/>
              <w:bottom w:type="dxa" w:w="80"/>
              <w:right w:type="dxa" w:w="120"/>
            </w:tcMar>
          </w:tcPr>
          <w:p>
            <w:pPr>
              <w:spacing w:after="0" w:line="250"/>
            </w:pPr>
            <w:r>
              <w:rPr>
                <w:sz w:val="19"/>
                <w:szCs w:val="19"/>
              </w:rPr>
              <w:t xml:space="preserve">Day 7 to 10</w:t>
            </w:r>
          </w:p>
        </w:tc>
        <w:tc>
          <w:tcPr>
            <w:tcW w:type="dxa" w:w="5460"/>
            <w:tcMar>
              <w:top w:type="dxa" w:w="80"/>
              <w:left w:type="dxa" w:w="120"/>
              <w:bottom w:type="dxa" w:w="80"/>
              <w:right w:type="dxa" w:w="120"/>
            </w:tcMar>
          </w:tcPr>
          <w:p>
            <w:pPr>
              <w:spacing w:after="0" w:line="250"/>
            </w:pPr>
            <w:r>
              <w:rPr>
                <w:sz w:val="19"/>
                <w:szCs w:val="19"/>
              </w:rPr>
              <w:t xml:space="preserve">Fact sheet returned and approved. Query set drafted, QA-checked, locked and date-stamped.</w:t>
            </w:r>
          </w:p>
        </w:tc>
        <w:tc>
          <w:tcPr>
            <w:tcW w:type="dxa" w:w="2200"/>
            <w:tcMar>
              <w:top w:type="dxa" w:w="80"/>
              <w:left w:type="dxa" w:w="120"/>
              <w:bottom w:type="dxa" w:w="80"/>
              <w:right w:type="dxa" w:w="120"/>
            </w:tcMar>
          </w:tcPr>
          <w:p>
            <w:pPr>
              <w:spacing w:after="0" w:line="250"/>
            </w:pPr>
            <w:r>
              <w:rPr>
                <w:sz w:val="19"/>
                <w:szCs w:val="19"/>
              </w:rPr>
              <w:t xml:space="preserve">Abhi</w:t>
            </w:r>
          </w:p>
        </w:tc>
      </w:tr>
      <w:tr>
        <w:tc>
          <w:tcPr>
            <w:tcW w:type="dxa" w:w="1700"/>
            <w:tcMar>
              <w:top w:type="dxa" w:w="80"/>
              <w:left w:type="dxa" w:w="120"/>
              <w:bottom w:type="dxa" w:w="80"/>
              <w:right w:type="dxa" w:w="120"/>
            </w:tcMar>
          </w:tcPr>
          <w:p>
            <w:pPr>
              <w:spacing w:after="0" w:line="250"/>
            </w:pPr>
            <w:r>
              <w:rPr>
                <w:sz w:val="19"/>
                <w:szCs w:val="19"/>
              </w:rPr>
              <w:t xml:space="preserve">Day 10 to 14</w:t>
            </w:r>
          </w:p>
        </w:tc>
        <w:tc>
          <w:tcPr>
            <w:tcW w:type="dxa" w:w="5460"/>
            <w:tcMar>
              <w:top w:type="dxa" w:w="80"/>
              <w:left w:type="dxa" w:w="120"/>
              <w:bottom w:type="dxa" w:w="80"/>
              <w:right w:type="dxa" w:w="120"/>
            </w:tcMar>
          </w:tcPr>
          <w:p>
            <w:pPr>
              <w:spacing w:after="0" w:line="250"/>
            </w:pPr>
            <w:r>
              <w:rPr>
                <w:sz w:val="19"/>
                <w:szCs w:val="19"/>
              </w:rPr>
              <w:t xml:space="preserve">Sitemap and message map approved. Copy underway.</w:t>
            </w:r>
          </w:p>
        </w:tc>
        <w:tc>
          <w:tcPr>
            <w:tcW w:type="dxa" w:w="2200"/>
            <w:tcMar>
              <w:top w:type="dxa" w:w="80"/>
              <w:left w:type="dxa" w:w="120"/>
              <w:bottom w:type="dxa" w:w="80"/>
              <w:right w:type="dxa" w:w="120"/>
            </w:tcMar>
          </w:tcPr>
          <w:p>
            <w:pPr>
              <w:spacing w:after="0" w:line="250"/>
            </w:pPr>
            <w:r>
              <w:rPr>
                <w:sz w:val="19"/>
                <w:szCs w:val="19"/>
              </w:rPr>
              <w:t xml:space="preserve">Both</w:t>
            </w:r>
          </w:p>
        </w:tc>
      </w:tr>
      <w:tr>
        <w:tc>
          <w:tcPr>
            <w:tcW w:type="dxa" w:w="1700"/>
            <w:tcMar>
              <w:top w:type="dxa" w:w="80"/>
              <w:left w:type="dxa" w:w="120"/>
              <w:bottom w:type="dxa" w:w="80"/>
              <w:right w:type="dxa" w:w="120"/>
            </w:tcMar>
          </w:tcPr>
          <w:p>
            <w:pPr>
              <w:spacing w:after="0" w:line="250"/>
            </w:pPr>
            <w:r>
              <w:rPr>
                <w:sz w:val="19"/>
                <w:szCs w:val="19"/>
              </w:rPr>
              <w:t xml:space="preserve">In parallel</w:t>
            </w:r>
          </w:p>
        </w:tc>
        <w:tc>
          <w:tcPr>
            <w:tcW w:type="dxa" w:w="5460"/>
            <w:tcMar>
              <w:top w:type="dxa" w:w="80"/>
              <w:left w:type="dxa" w:w="120"/>
              <w:bottom w:type="dxa" w:w="80"/>
              <w:right w:type="dxa" w:w="120"/>
            </w:tcMar>
          </w:tcPr>
          <w:p>
            <w:pPr>
              <w:spacing w:after="0" w:line="250"/>
            </w:pPr>
            <w:r>
              <w:rPr>
                <w:sz w:val="19"/>
                <w:szCs w:val="19"/>
              </w:rPr>
              <w:t xml:space="preserve">Berkeley business license, DBA if we are using a brand name, business bank account.</w:t>
            </w:r>
          </w:p>
        </w:tc>
        <w:tc>
          <w:tcPr>
            <w:tcW w:type="dxa" w:w="2200"/>
            <w:tcMar>
              <w:top w:type="dxa" w:w="80"/>
              <w:left w:type="dxa" w:w="120"/>
              <w:bottom w:type="dxa" w:w="80"/>
              <w:right w:type="dxa" w:w="120"/>
            </w:tcMar>
          </w:tcPr>
          <w:p>
            <w:pPr>
              <w:spacing w:after="0" w:line="250"/>
            </w:pPr>
            <w:r>
              <w:rPr>
                <w:sz w:val="19"/>
                <w:szCs w:val="19"/>
              </w:rPr>
              <w:t xml:space="preserve">Both</w:t>
            </w:r>
          </w:p>
        </w:tc>
      </w:tr>
    </w:tbl>
    <w:p>
      <w:pPr>
        <w:pStyle w:val="Heading2"/>
        <w:spacing w:after="130" w:before="300"/>
      </w:pPr>
      <w:r>
        <w:rPr>
          <w:b/>
          <w:bCs/>
          <w:color w:val="1F3864"/>
          <w:sz w:val="24"/>
          <w:szCs w:val="24"/>
        </w:rPr>
        <w:t xml:space="preserve">3.5  After the close: the proof gates</w:t>
      </w:r>
    </w:p>
    <w:p>
      <w:pPr>
        <w:spacing w:after="140" w:before="0" w:line="264"/>
      </w:pPr>
      <w:r>
        <w:t xml:space="preserve">This is where the case study comes from, and it is a large part of why this client is worth taking even at pilot pricing.</w:t>
      </w:r>
    </w:p>
    <w:p>
      <w:pPr>
        <w:pStyle w:val="ListParagraph"/>
        <w:numPr>
          <w:ilvl w:val="0"/>
          <w:numId w:val="1"/>
        </w:numPr>
        <w:spacing w:after="90" w:line="264"/>
      </w:pPr>
      <w:r>
        <w:rPr>
          <w:b/>
          <w:bCs/>
        </w:rPr>
        <w:t xml:space="preserve">Baseline now, before the site exists. </w:t>
      </w:r>
      <w:r>
        <w:t xml:space="preserve">Run and date-stamp the locked query set before launch. A measured zero, with a competitor list sitting next to it, is the cleanest before-picture we will ever have, and it cannot be recreated after the fact. Do this even if the deal is still unsigned.</w:t>
      </w:r>
    </w:p>
    <w:p>
      <w:pPr>
        <w:pStyle w:val="ListParagraph"/>
        <w:numPr>
          <w:ilvl w:val="0"/>
          <w:numId w:val="1"/>
        </w:numPr>
        <w:spacing w:after="90" w:line="264"/>
      </w:pPr>
      <w:r>
        <w:rPr>
          <w:b/>
          <w:bCs/>
        </w:rPr>
        <w:t xml:space="preserve">Launch, around week four. </w:t>
      </w:r>
      <w:r>
        <w:t xml:space="preserve">Confirm crawler access on the live site the same day it goes up. A site engines cannot reach is the failure mode we sell against.</w:t>
      </w:r>
    </w:p>
    <w:p>
      <w:pPr>
        <w:pStyle w:val="ListParagraph"/>
        <w:numPr>
          <w:ilvl w:val="0"/>
          <w:numId w:val="1"/>
        </w:numPr>
        <w:spacing w:after="90" w:line="264"/>
      </w:pPr>
      <w:r>
        <w:rPr>
          <w:b/>
          <w:bCs/>
        </w:rPr>
        <w:t xml:space="preserve">Day 30. </w:t>
      </w:r>
      <w:r>
        <w:t xml:space="preserve">First re-measure, identical query set. Frame it explicitly as a check that the instrument sees the change, not as the result.</w:t>
      </w:r>
    </w:p>
    <w:p>
      <w:pPr>
        <w:pStyle w:val="ListParagraph"/>
        <w:numPr>
          <w:ilvl w:val="0"/>
          <w:numId w:val="1"/>
        </w:numPr>
        <w:spacing w:after="90" w:line="264"/>
      </w:pPr>
      <w:r>
        <w:rPr>
          <w:b/>
          <w:bCs/>
        </w:rPr>
        <w:t xml:space="preserve">Day 90. </w:t>
      </w:r>
      <w:r>
        <w:t xml:space="preserve">The real read. Mention rate by question type, who is named beside them now, which sources moved.</w:t>
      </w:r>
    </w:p>
    <w:p>
      <w:pPr>
        <w:pStyle w:val="ListParagraph"/>
        <w:numPr>
          <w:ilvl w:val="0"/>
          <w:numId w:val="1"/>
        </w:numPr>
        <w:spacing w:after="90" w:line="264"/>
      </w:pPr>
      <w:r>
        <w:rPr>
          <w:b/>
          <w:bCs/>
        </w:rPr>
        <w:t xml:space="preserve">Then publish it. </w:t>
      </w:r>
      <w:r>
        <w:t xml:space="preserve">Permission secured in the agreement, numbers approved by them. One documented before-and-after with real numbers is the thing that makes deal two dramatically easier to sell, and it is the exit gate we set for ourselves in the roadmap.</w:t>
      </w:r>
    </w:p>
    <w:p>
      <w:pPr>
        <w:pStyle w:val="Heading1"/>
        <w:pBdr>
          <w:bottom w:val="single" w:color="D9D9D9" w:sz="6" w:space="6"/>
        </w:pBdr>
        <w:spacing w:after="170" w:before="380"/>
      </w:pPr>
      <w:r>
        <w:rPr>
          <w:b/>
          <w:bCs/>
          <w:color w:val="1F3864"/>
          <w:sz w:val="30"/>
          <w:szCs w:val="30"/>
        </w:rPr>
        <w:t xml:space="preserve">4. Before Friday</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5100"/>
        <w:gridCol w:w="1900"/>
        <w:gridCol w:w="2360"/>
      </w:tblGrid>
      <w:tr>
        <w:trPr>
          <w:tblHeader/>
        </w:trPr>
        <w:tc>
          <w:tcPr>
            <w:tcW w:type="dxa" w:w="5100"/>
            <w:shd w:fill="F2F2F2" w:color="auto" w:val="clear"/>
            <w:tcMar>
              <w:top w:type="dxa" w:w="80"/>
              <w:left w:type="dxa" w:w="120"/>
              <w:bottom w:type="dxa" w:w="80"/>
              <w:right w:type="dxa" w:w="120"/>
            </w:tcMar>
          </w:tcPr>
          <w:p>
            <w:pPr>
              <w:spacing w:after="0" w:line="250"/>
            </w:pPr>
            <w:r>
              <w:rPr>
                <w:b/>
                <w:bCs/>
                <w:color w:val="1F3864"/>
                <w:sz w:val="19"/>
                <w:szCs w:val="19"/>
              </w:rPr>
              <w:t xml:space="preserve">Item</w:t>
            </w:r>
          </w:p>
        </w:tc>
        <w:tc>
          <w:tcPr>
            <w:tcW w:type="dxa" w:w="1900"/>
            <w:shd w:fill="F2F2F2" w:color="auto" w:val="clear"/>
            <w:tcMar>
              <w:top w:type="dxa" w:w="80"/>
              <w:left w:type="dxa" w:w="120"/>
              <w:bottom w:type="dxa" w:w="80"/>
              <w:right w:type="dxa" w:w="120"/>
            </w:tcMar>
          </w:tcPr>
          <w:p>
            <w:pPr>
              <w:spacing w:after="0" w:line="250"/>
            </w:pPr>
            <w:r>
              <w:rPr>
                <w:b/>
                <w:bCs/>
                <w:color w:val="1F3864"/>
                <w:sz w:val="19"/>
                <w:szCs w:val="19"/>
              </w:rPr>
              <w:t xml:space="preserve">Owner</w:t>
            </w:r>
          </w:p>
        </w:tc>
        <w:tc>
          <w:tcPr>
            <w:tcW w:type="dxa" w:w="2360"/>
            <w:shd w:fill="F2F2F2" w:color="auto" w:val="clear"/>
            <w:tcMar>
              <w:top w:type="dxa" w:w="80"/>
              <w:left w:type="dxa" w:w="120"/>
              <w:bottom w:type="dxa" w:w="80"/>
              <w:right w:type="dxa" w:w="120"/>
            </w:tcMar>
          </w:tcPr>
          <w:p>
            <w:pPr>
              <w:spacing w:after="0" w:line="250"/>
            </w:pPr>
            <w:r>
              <w:rPr>
                <w:b/>
                <w:bCs/>
                <w:color w:val="1F3864"/>
                <w:sz w:val="19"/>
                <w:szCs w:val="19"/>
              </w:rPr>
              <w:t xml:space="preserve">Blocks what</w:t>
            </w:r>
          </w:p>
        </w:tc>
      </w:tr>
      <w:tr>
        <w:tc>
          <w:tcPr>
            <w:tcW w:type="dxa" w:w="5100"/>
            <w:tcMar>
              <w:top w:type="dxa" w:w="80"/>
              <w:left w:type="dxa" w:w="120"/>
              <w:bottom w:type="dxa" w:w="80"/>
              <w:right w:type="dxa" w:w="120"/>
            </w:tcMar>
          </w:tcPr>
          <w:p>
            <w:pPr>
              <w:spacing w:after="0" w:line="250"/>
            </w:pPr>
            <w:r>
              <w:rPr>
                <w:sz w:val="19"/>
                <w:szCs w:val="19"/>
              </w:rPr>
              <w:t xml:space="preserve">Decide the brand name</w:t>
            </w:r>
          </w:p>
        </w:tc>
        <w:tc>
          <w:tcPr>
            <w:tcW w:type="dxa" w:w="1900"/>
            <w:tcMar>
              <w:top w:type="dxa" w:w="80"/>
              <w:left w:type="dxa" w:w="120"/>
              <w:bottom w:type="dxa" w:w="80"/>
              <w:right w:type="dxa" w:w="120"/>
            </w:tcMar>
          </w:tcPr>
          <w:p>
            <w:pPr>
              <w:spacing w:after="0" w:line="250"/>
            </w:pPr>
            <w:r>
              <w:rPr>
                <w:sz w:val="19"/>
                <w:szCs w:val="19"/>
              </w:rPr>
              <w:t xml:space="preserve">Both</w:t>
            </w:r>
          </w:p>
        </w:tc>
        <w:tc>
          <w:tcPr>
            <w:tcW w:type="dxa" w:w="2360"/>
            <w:tcMar>
              <w:top w:type="dxa" w:w="80"/>
              <w:left w:type="dxa" w:w="120"/>
              <w:bottom w:type="dxa" w:w="80"/>
              <w:right w:type="dxa" w:w="120"/>
            </w:tcMar>
          </w:tcPr>
          <w:p>
            <w:pPr>
              <w:spacing w:after="0" w:line="250"/>
            </w:pPr>
            <w:r>
              <w:rPr>
                <w:sz w:val="19"/>
                <w:szCs w:val="19"/>
              </w:rPr>
              <w:t xml:space="preserve">Domain, DBA, bank account, invoice, contract, live site</w:t>
            </w:r>
          </w:p>
        </w:tc>
      </w:tr>
      <w:tr>
        <w:tc>
          <w:tcPr>
            <w:tcW w:type="dxa" w:w="5100"/>
            <w:tcMar>
              <w:top w:type="dxa" w:w="80"/>
              <w:left w:type="dxa" w:w="120"/>
              <w:bottom w:type="dxa" w:w="80"/>
              <w:right w:type="dxa" w:w="120"/>
            </w:tcMar>
          </w:tcPr>
          <w:p>
            <w:pPr>
              <w:spacing w:after="0" w:line="250"/>
            </w:pPr>
            <w:r>
              <w:rPr>
                <w:sz w:val="19"/>
                <w:szCs w:val="19"/>
              </w:rPr>
              <w:t xml:space="preserve">Decide the two prices: build fee and monthly</w:t>
            </w:r>
          </w:p>
        </w:tc>
        <w:tc>
          <w:tcPr>
            <w:tcW w:type="dxa" w:w="1900"/>
            <w:tcMar>
              <w:top w:type="dxa" w:w="80"/>
              <w:left w:type="dxa" w:w="120"/>
              <w:bottom w:type="dxa" w:w="80"/>
              <w:right w:type="dxa" w:w="120"/>
            </w:tcMar>
          </w:tcPr>
          <w:p>
            <w:pPr>
              <w:spacing w:after="0" w:line="250"/>
            </w:pPr>
            <w:r>
              <w:rPr>
                <w:sz w:val="19"/>
                <w:szCs w:val="19"/>
              </w:rPr>
              <w:t xml:space="preserve">Both</w:t>
            </w:r>
          </w:p>
        </w:tc>
        <w:tc>
          <w:tcPr>
            <w:tcW w:type="dxa" w:w="2360"/>
            <w:tcMar>
              <w:top w:type="dxa" w:w="80"/>
              <w:left w:type="dxa" w:w="120"/>
              <w:bottom w:type="dxa" w:w="80"/>
              <w:right w:type="dxa" w:w="120"/>
            </w:tcMar>
          </w:tcPr>
          <w:p>
            <w:pPr>
              <w:spacing w:after="0" w:line="250"/>
            </w:pPr>
            <w:r>
              <w:rPr>
                <w:sz w:val="19"/>
                <w:szCs w:val="19"/>
              </w:rPr>
              <w:t xml:space="preserve">The ask, the agreement, the pricing page</w:t>
            </w:r>
          </w:p>
        </w:tc>
      </w:tr>
      <w:tr>
        <w:tc>
          <w:tcPr>
            <w:tcW w:type="dxa" w:w="5100"/>
            <w:tcMar>
              <w:top w:type="dxa" w:w="80"/>
              <w:left w:type="dxa" w:w="120"/>
              <w:bottom w:type="dxa" w:w="80"/>
              <w:right w:type="dxa" w:w="120"/>
            </w:tcMar>
          </w:tcPr>
          <w:p>
            <w:pPr>
              <w:spacing w:after="0" w:line="250"/>
            </w:pPr>
            <w:r>
              <w:rPr>
                <w:sz w:val="19"/>
                <w:szCs w:val="19"/>
              </w:rPr>
              <w:t xml:space="preserve">Fill or explain [Brand] and [$X] on the live site</w:t>
            </w:r>
          </w:p>
        </w:tc>
        <w:tc>
          <w:tcPr>
            <w:tcW w:type="dxa" w:w="1900"/>
            <w:tcMar>
              <w:top w:type="dxa" w:w="80"/>
              <w:left w:type="dxa" w:w="120"/>
              <w:bottom w:type="dxa" w:w="80"/>
              <w:right w:type="dxa" w:w="120"/>
            </w:tcMar>
          </w:tcPr>
          <w:p>
            <w:pPr>
              <w:spacing w:after="0" w:line="250"/>
            </w:pPr>
            <w:r>
              <w:rPr>
                <w:sz w:val="19"/>
                <w:szCs w:val="19"/>
              </w:rPr>
              <w:t xml:space="preserve">Abhi</w:t>
            </w:r>
          </w:p>
        </w:tc>
        <w:tc>
          <w:tcPr>
            <w:tcW w:type="dxa" w:w="2360"/>
            <w:tcMar>
              <w:top w:type="dxa" w:w="80"/>
              <w:left w:type="dxa" w:w="120"/>
              <w:bottom w:type="dxa" w:w="80"/>
              <w:right w:type="dxa" w:w="120"/>
            </w:tcMar>
          </w:tcPr>
          <w:p>
            <w:pPr>
              <w:spacing w:after="0" w:line="250"/>
            </w:pPr>
            <w:r>
              <w:rPr>
                <w:sz w:val="19"/>
                <w:szCs w:val="19"/>
              </w:rPr>
              <w:t xml:space="preserve">They will visit before the call</w:t>
            </w:r>
          </w:p>
        </w:tc>
      </w:tr>
      <w:tr>
        <w:tc>
          <w:tcPr>
            <w:tcW w:type="dxa" w:w="5100"/>
            <w:tcMar>
              <w:top w:type="dxa" w:w="80"/>
              <w:left w:type="dxa" w:w="120"/>
              <w:bottom w:type="dxa" w:w="80"/>
              <w:right w:type="dxa" w:w="120"/>
            </w:tcMar>
          </w:tcPr>
          <w:p>
            <w:pPr>
              <w:spacing w:after="0" w:line="250"/>
            </w:pPr>
            <w:r>
              <w:rPr>
                <w:sz w:val="19"/>
                <w:szCs w:val="19"/>
              </w:rPr>
              <w:t xml:space="preserve">Run the 5 to 8 prospect queries, screenshot verbatim, note who is named instead</w:t>
            </w:r>
          </w:p>
        </w:tc>
        <w:tc>
          <w:tcPr>
            <w:tcW w:type="dxa" w:w="1900"/>
            <w:tcMar>
              <w:top w:type="dxa" w:w="80"/>
              <w:left w:type="dxa" w:w="120"/>
              <w:bottom w:type="dxa" w:w="80"/>
              <w:right w:type="dxa" w:w="120"/>
            </w:tcMar>
          </w:tcPr>
          <w:p>
            <w:pPr>
              <w:spacing w:after="0" w:line="250"/>
            </w:pPr>
            <w:r>
              <w:rPr>
                <w:sz w:val="19"/>
                <w:szCs w:val="19"/>
              </w:rPr>
              <w:t xml:space="preserve">Abhi</w:t>
            </w:r>
          </w:p>
        </w:tc>
        <w:tc>
          <w:tcPr>
            <w:tcW w:type="dxa" w:w="2360"/>
            <w:tcMar>
              <w:top w:type="dxa" w:w="80"/>
              <w:left w:type="dxa" w:w="120"/>
              <w:bottom w:type="dxa" w:w="80"/>
              <w:right w:type="dxa" w:w="120"/>
            </w:tcMar>
          </w:tcPr>
          <w:p>
            <w:pPr>
              <w:spacing w:after="0" w:line="250"/>
            </w:pPr>
            <w:r>
              <w:rPr>
                <w:sz w:val="19"/>
                <w:szCs w:val="19"/>
              </w:rPr>
              <w:t xml:space="preserve">The opening five minutes</w:t>
            </w:r>
          </w:p>
        </w:tc>
      </w:tr>
      <w:tr>
        <w:tc>
          <w:tcPr>
            <w:tcW w:type="dxa" w:w="5100"/>
            <w:tcMar>
              <w:top w:type="dxa" w:w="80"/>
              <w:left w:type="dxa" w:w="120"/>
              <w:bottom w:type="dxa" w:w="80"/>
              <w:right w:type="dxa" w:w="120"/>
            </w:tcMar>
          </w:tcPr>
          <w:p>
            <w:pPr>
              <w:spacing w:after="0" w:line="250"/>
            </w:pPr>
            <w:r>
              <w:rPr>
                <w:sz w:val="19"/>
                <w:szCs w:val="19"/>
              </w:rPr>
              <w:t xml:space="preserve">Store and date-stamp the pre-launch baseline</w:t>
            </w:r>
          </w:p>
        </w:tc>
        <w:tc>
          <w:tcPr>
            <w:tcW w:type="dxa" w:w="1900"/>
            <w:tcMar>
              <w:top w:type="dxa" w:w="80"/>
              <w:left w:type="dxa" w:w="120"/>
              <w:bottom w:type="dxa" w:w="80"/>
              <w:right w:type="dxa" w:w="120"/>
            </w:tcMar>
          </w:tcPr>
          <w:p>
            <w:pPr>
              <w:spacing w:after="0" w:line="250"/>
            </w:pPr>
            <w:r>
              <w:rPr>
                <w:sz w:val="19"/>
                <w:szCs w:val="19"/>
              </w:rPr>
              <w:t xml:space="preserve">Abhi</w:t>
            </w:r>
          </w:p>
        </w:tc>
        <w:tc>
          <w:tcPr>
            <w:tcW w:type="dxa" w:w="2360"/>
            <w:tcMar>
              <w:top w:type="dxa" w:w="80"/>
              <w:left w:type="dxa" w:w="120"/>
              <w:bottom w:type="dxa" w:w="80"/>
              <w:right w:type="dxa" w:w="120"/>
            </w:tcMar>
          </w:tcPr>
          <w:p>
            <w:pPr>
              <w:spacing w:after="0" w:line="250"/>
            </w:pPr>
            <w:r>
              <w:rPr>
                <w:sz w:val="19"/>
                <w:szCs w:val="19"/>
              </w:rPr>
              <w:t xml:space="preserve">The 90-day case study</w:t>
            </w:r>
          </w:p>
        </w:tc>
      </w:tr>
      <w:tr>
        <w:tc>
          <w:tcPr>
            <w:tcW w:type="dxa" w:w="5100"/>
            <w:tcMar>
              <w:top w:type="dxa" w:w="80"/>
              <w:left w:type="dxa" w:w="120"/>
              <w:bottom w:type="dxa" w:w="80"/>
              <w:right w:type="dxa" w:w="120"/>
            </w:tcMar>
          </w:tcPr>
          <w:p>
            <w:pPr>
              <w:spacing w:after="0" w:line="250"/>
            </w:pPr>
            <w:r>
              <w:rPr>
                <w:sz w:val="19"/>
                <w:szCs w:val="19"/>
              </w:rPr>
              <w:t xml:space="preserve">Pick the free quick win we hand over unconditionally</w:t>
            </w:r>
          </w:p>
        </w:tc>
        <w:tc>
          <w:tcPr>
            <w:tcW w:type="dxa" w:w="1900"/>
            <w:tcMar>
              <w:top w:type="dxa" w:w="80"/>
              <w:left w:type="dxa" w:w="120"/>
              <w:bottom w:type="dxa" w:w="80"/>
              <w:right w:type="dxa" w:w="120"/>
            </w:tcMar>
          </w:tcPr>
          <w:p>
            <w:pPr>
              <w:spacing w:after="0" w:line="250"/>
            </w:pPr>
            <w:r>
              <w:rPr>
                <w:sz w:val="19"/>
                <w:szCs w:val="19"/>
              </w:rPr>
              <w:t xml:space="preserve">Josh</w:t>
            </w:r>
          </w:p>
        </w:tc>
        <w:tc>
          <w:tcPr>
            <w:tcW w:type="dxa" w:w="2360"/>
            <w:tcMar>
              <w:top w:type="dxa" w:w="80"/>
              <w:left w:type="dxa" w:w="120"/>
              <w:bottom w:type="dxa" w:w="80"/>
              <w:right w:type="dxa" w:w="120"/>
            </w:tcMar>
          </w:tcPr>
          <w:p>
            <w:pPr>
              <w:spacing w:after="0" w:line="250"/>
            </w:pPr>
            <w:r>
              <w:rPr>
                <w:sz w:val="19"/>
                <w:szCs w:val="19"/>
              </w:rPr>
              <w:t xml:space="preserve">The most-remembered moment</w:t>
            </w:r>
          </w:p>
        </w:tc>
      </w:tr>
      <w:tr>
        <w:tc>
          <w:tcPr>
            <w:tcW w:type="dxa" w:w="5100"/>
            <w:tcMar>
              <w:top w:type="dxa" w:w="80"/>
              <w:left w:type="dxa" w:w="120"/>
              <w:bottom w:type="dxa" w:w="80"/>
              <w:right w:type="dxa" w:w="120"/>
            </w:tcMar>
          </w:tcPr>
          <w:p>
            <w:pPr>
              <w:spacing w:after="0" w:line="250"/>
            </w:pPr>
            <w:r>
              <w:rPr>
                <w:sz w:val="19"/>
                <w:szCs w:val="19"/>
              </w:rPr>
              <w:t xml:space="preserve">Get the EIN (free, same day)</w:t>
            </w:r>
          </w:p>
        </w:tc>
        <w:tc>
          <w:tcPr>
            <w:tcW w:type="dxa" w:w="1900"/>
            <w:tcMar>
              <w:top w:type="dxa" w:w="80"/>
              <w:left w:type="dxa" w:w="120"/>
              <w:bottom w:type="dxa" w:w="80"/>
              <w:right w:type="dxa" w:w="120"/>
            </w:tcMar>
          </w:tcPr>
          <w:p>
            <w:pPr>
              <w:spacing w:after="0" w:line="250"/>
            </w:pPr>
            <w:r>
              <w:rPr>
                <w:sz w:val="19"/>
                <w:szCs w:val="19"/>
              </w:rPr>
              <w:t xml:space="preserve">Either</w:t>
            </w:r>
          </w:p>
        </w:tc>
        <w:tc>
          <w:tcPr>
            <w:tcW w:type="dxa" w:w="2360"/>
            <w:tcMar>
              <w:top w:type="dxa" w:w="80"/>
              <w:left w:type="dxa" w:w="120"/>
              <w:bottom w:type="dxa" w:w="80"/>
              <w:right w:type="dxa" w:w="120"/>
            </w:tcMar>
          </w:tcPr>
          <w:p>
            <w:pPr>
              <w:spacing w:after="0" w:line="250"/>
            </w:pPr>
            <w:r>
              <w:rPr>
                <w:sz w:val="19"/>
                <w:szCs w:val="19"/>
              </w:rPr>
              <w:t xml:space="preserve">Payment rail, bank account</w:t>
            </w:r>
          </w:p>
        </w:tc>
      </w:tr>
      <w:tr>
        <w:tc>
          <w:tcPr>
            <w:tcW w:type="dxa" w:w="5100"/>
            <w:tcMar>
              <w:top w:type="dxa" w:w="80"/>
              <w:left w:type="dxa" w:w="120"/>
              <w:bottom w:type="dxa" w:w="80"/>
              <w:right w:type="dxa" w:w="120"/>
            </w:tcMar>
          </w:tcPr>
          <w:p>
            <w:pPr>
              <w:spacing w:after="0" w:line="250"/>
            </w:pPr>
            <w:r>
              <w:rPr>
                <w:sz w:val="19"/>
                <w:szCs w:val="19"/>
              </w:rPr>
              <w:t xml:space="preserve">Payment rail live, tested with a $1 invoice</w:t>
            </w:r>
          </w:p>
        </w:tc>
        <w:tc>
          <w:tcPr>
            <w:tcW w:type="dxa" w:w="1900"/>
            <w:tcMar>
              <w:top w:type="dxa" w:w="80"/>
              <w:left w:type="dxa" w:w="120"/>
              <w:bottom w:type="dxa" w:w="80"/>
              <w:right w:type="dxa" w:w="120"/>
            </w:tcMar>
          </w:tcPr>
          <w:p>
            <w:pPr>
              <w:spacing w:after="0" w:line="250"/>
            </w:pPr>
            <w:r>
              <w:rPr>
                <w:sz w:val="19"/>
                <w:szCs w:val="19"/>
              </w:rPr>
              <w:t xml:space="preserve">Either</w:t>
            </w:r>
          </w:p>
        </w:tc>
        <w:tc>
          <w:tcPr>
            <w:tcW w:type="dxa" w:w="2360"/>
            <w:tcMar>
              <w:top w:type="dxa" w:w="80"/>
              <w:left w:type="dxa" w:w="120"/>
              <w:bottom w:type="dxa" w:w="80"/>
              <w:right w:type="dxa" w:w="120"/>
            </w:tcMar>
          </w:tcPr>
          <w:p>
            <w:pPr>
              <w:spacing w:after="0" w:line="250"/>
            </w:pPr>
            <w:r>
              <w:rPr>
                <w:sz w:val="19"/>
                <w:szCs w:val="19"/>
              </w:rPr>
              <w:t xml:space="preserve">Deposit clearing inside a week</w:t>
            </w:r>
          </w:p>
        </w:tc>
      </w:tr>
      <w:tr>
        <w:tc>
          <w:tcPr>
            <w:tcW w:type="dxa" w:w="5100"/>
            <w:tcMar>
              <w:top w:type="dxa" w:w="80"/>
              <w:left w:type="dxa" w:w="120"/>
              <w:bottom w:type="dxa" w:w="80"/>
              <w:right w:type="dxa" w:w="120"/>
            </w:tcMar>
          </w:tcPr>
          <w:p>
            <w:pPr>
              <w:spacing w:after="0" w:line="250"/>
            </w:pPr>
            <w:r>
              <w:rPr>
                <w:sz w:val="19"/>
                <w:szCs w:val="19"/>
              </w:rPr>
              <w:t xml:space="preserve">Services agreement drafted, with liability cap, no-guarantee and IP clauses in</w:t>
            </w:r>
          </w:p>
        </w:tc>
        <w:tc>
          <w:tcPr>
            <w:tcW w:type="dxa" w:w="1900"/>
            <w:tcMar>
              <w:top w:type="dxa" w:w="80"/>
              <w:left w:type="dxa" w:w="120"/>
              <w:bottom w:type="dxa" w:w="80"/>
              <w:right w:type="dxa" w:w="120"/>
            </w:tcMar>
          </w:tcPr>
          <w:p>
            <w:pPr>
              <w:spacing w:after="0" w:line="250"/>
            </w:pPr>
            <w:r>
              <w:rPr>
                <w:sz w:val="19"/>
                <w:szCs w:val="19"/>
              </w:rPr>
              <w:t xml:space="preserve">Josh</w:t>
            </w:r>
          </w:p>
        </w:tc>
        <w:tc>
          <w:tcPr>
            <w:tcW w:type="dxa" w:w="2360"/>
            <w:tcMar>
              <w:top w:type="dxa" w:w="80"/>
              <w:left w:type="dxa" w:w="120"/>
              <w:bottom w:type="dxa" w:w="80"/>
              <w:right w:type="dxa" w:w="120"/>
            </w:tcMar>
          </w:tcPr>
          <w:p>
            <w:pPr>
              <w:spacing w:after="0" w:line="250"/>
            </w:pPr>
            <w:r>
              <w:rPr>
                <w:sz w:val="19"/>
                <w:szCs w:val="19"/>
              </w:rPr>
              <w:t xml:space="preserve">Sending it the same day as the call</w:t>
            </w:r>
          </w:p>
        </w:tc>
      </w:tr>
      <w:tr>
        <w:tc>
          <w:tcPr>
            <w:tcW w:type="dxa" w:w="5100"/>
            <w:tcMar>
              <w:top w:type="dxa" w:w="80"/>
              <w:left w:type="dxa" w:w="120"/>
              <w:bottom w:type="dxa" w:w="80"/>
              <w:right w:type="dxa" w:w="120"/>
            </w:tcMar>
          </w:tcPr>
          <w:p>
            <w:pPr>
              <w:spacing w:after="0" w:line="250"/>
            </w:pPr>
            <w:r>
              <w:rPr>
                <w:sz w:val="19"/>
                <w:szCs w:val="19"/>
              </w:rPr>
              <w:t xml:space="preserve">Decide whether we are asking for case-study rights, and at what price</w:t>
            </w:r>
          </w:p>
        </w:tc>
        <w:tc>
          <w:tcPr>
            <w:tcW w:type="dxa" w:w="1900"/>
            <w:tcMar>
              <w:top w:type="dxa" w:w="80"/>
              <w:left w:type="dxa" w:w="120"/>
              <w:bottom w:type="dxa" w:w="80"/>
              <w:right w:type="dxa" w:w="120"/>
            </w:tcMar>
          </w:tcPr>
          <w:p>
            <w:pPr>
              <w:spacing w:after="0" w:line="250"/>
            </w:pPr>
            <w:r>
              <w:rPr>
                <w:sz w:val="19"/>
                <w:szCs w:val="19"/>
              </w:rPr>
              <w:t xml:space="preserve">Josh</w:t>
            </w:r>
          </w:p>
        </w:tc>
        <w:tc>
          <w:tcPr>
            <w:tcW w:type="dxa" w:w="2360"/>
            <w:tcMar>
              <w:top w:type="dxa" w:w="80"/>
              <w:left w:type="dxa" w:w="120"/>
              <w:bottom w:type="dxa" w:w="80"/>
              <w:right w:type="dxa" w:w="120"/>
            </w:tcMar>
          </w:tcPr>
          <w:p>
            <w:pPr>
              <w:spacing w:after="0" w:line="250"/>
            </w:pPr>
            <w:r>
              <w:rPr>
                <w:sz w:val="19"/>
                <w:szCs w:val="19"/>
              </w:rPr>
              <w:t xml:space="preserve">Objection 1.8, and the agreement</w:t>
            </w:r>
          </w:p>
        </w:tc>
      </w:tr>
      <w:tr>
        <w:tc>
          <w:tcPr>
            <w:tcW w:type="dxa" w:w="5100"/>
            <w:tcMar>
              <w:top w:type="dxa" w:w="80"/>
              <w:left w:type="dxa" w:w="120"/>
              <w:bottom w:type="dxa" w:w="80"/>
              <w:right w:type="dxa" w:w="120"/>
            </w:tcMar>
          </w:tcPr>
          <w:p>
            <w:pPr>
              <w:spacing w:after="0" w:line="250"/>
            </w:pPr>
            <w:r>
              <w:rPr>
                <w:sz w:val="19"/>
                <w:szCs w:val="19"/>
              </w:rPr>
              <w:t xml:space="preserve">Agree who answers what on the call</w:t>
            </w:r>
          </w:p>
        </w:tc>
        <w:tc>
          <w:tcPr>
            <w:tcW w:type="dxa" w:w="1900"/>
            <w:tcMar>
              <w:top w:type="dxa" w:w="80"/>
              <w:left w:type="dxa" w:w="120"/>
              <w:bottom w:type="dxa" w:w="80"/>
              <w:right w:type="dxa" w:w="120"/>
            </w:tcMar>
          </w:tcPr>
          <w:p>
            <w:pPr>
              <w:spacing w:after="0" w:line="250"/>
            </w:pPr>
            <w:r>
              <w:rPr>
                <w:sz w:val="19"/>
                <w:szCs w:val="19"/>
              </w:rPr>
              <w:t xml:space="preserve">Both</w:t>
            </w:r>
          </w:p>
        </w:tc>
        <w:tc>
          <w:tcPr>
            <w:tcW w:type="dxa" w:w="2360"/>
            <w:tcMar>
              <w:top w:type="dxa" w:w="80"/>
              <w:left w:type="dxa" w:w="120"/>
              <w:bottom w:type="dxa" w:w="80"/>
              <w:right w:type="dxa" w:w="120"/>
            </w:tcMar>
          </w:tcPr>
          <w:p>
            <w:pPr>
              <w:spacing w:after="0" w:line="250"/>
            </w:pPr>
            <w:r>
              <w:rPr>
                <w:sz w:val="19"/>
                <w:szCs w:val="19"/>
              </w:rPr>
              <w:t xml:space="preserve">Two founders talking over each other</w:t>
            </w:r>
          </w:p>
        </w:tc>
      </w:tr>
    </w:tbl>
    <w:p>
      <w:pPr>
        <w:pStyle w:val="Heading1"/>
        <w:pBdr>
          <w:bottom w:val="single" w:color="D9D9D9" w:sz="6" w:space="6"/>
        </w:pBdr>
        <w:spacing w:after="170" w:before="380"/>
      </w:pPr>
      <w:r>
        <w:rPr>
          <w:b/>
          <w:bCs/>
          <w:color w:val="1F3864"/>
          <w:sz w:val="30"/>
          <w:szCs w:val="30"/>
        </w:rPr>
        <w:t xml:space="preserve">5. Fix before the client sees it</w:t>
      </w:r>
    </w:p>
    <w:p>
      <w:pPr>
        <w:spacing w:after="140" w:before="0" w:line="264"/>
      </w:pPr>
      <w:r>
        <w:t xml:space="preserve">These are our own inconsistencies. On a call where measurement discipline is the entire product, being caught with sloppy numbers about our own numbers is the expensive kind of mistake.</w:t>
      </w:r>
    </w:p>
    <w:p>
      <w:pPr>
        <w:pStyle w:val="ListParagraph"/>
        <w:numPr>
          <w:ilvl w:val="0"/>
          <w:numId w:val="1"/>
        </w:numPr>
        <w:spacing w:after="90" w:line="264"/>
      </w:pPr>
      <w:r>
        <w:rPr>
          <w:b/>
          <w:bCs/>
        </w:rPr>
        <w:t xml:space="preserve">Our query count and run count do not match across our own materials. </w:t>
      </w:r>
      <w:r>
        <w:t xml:space="preserve">The website methodology page says 32 questions, 10 runs, 5 engines. The methodology one-pager says 40 to 50 questions. The technical spec assumes 3 to 5 runs. A client who reads the site before the call and then hears a different number from us has just watched our measurement discipline fail live. Pick the true numbers, make the config match, then make the copy match. This is the highest-priority item on this page.</w:t>
      </w:r>
    </w:p>
    <w:p>
      <w:pPr>
        <w:pStyle w:val="ListParagraph"/>
        <w:numPr>
          <w:ilvl w:val="0"/>
          <w:numId w:val="1"/>
        </w:numPr>
        <w:spacing w:after="90" w:line="264"/>
      </w:pPr>
      <w:r>
        <w:rPr>
          <w:b/>
          <w:bCs/>
        </w:rPr>
        <w:t xml:space="preserve">[Brand] and [$X] are still on the live pricing page. </w:t>
      </w:r>
      <w:r>
        <w:t xml:space="preserve">They will look. Either fill them, or have a straight answer ready. "We are renaming this month" is fine. Being surprised by the question is not.</w:t>
      </w:r>
    </w:p>
    <w:p>
      <w:pPr>
        <w:pStyle w:val="ListParagraph"/>
        <w:numPr>
          <w:ilvl w:val="0"/>
          <w:numId w:val="1"/>
        </w:numPr>
        <w:spacing w:after="90" w:line="264"/>
      </w:pPr>
      <w:r>
        <w:rPr>
          <w:b/>
          <w:bCs/>
        </w:rPr>
        <w:t xml:space="preserve">Do not lead with the AI SEO one-pager. </w:t>
      </w:r>
      <w:r>
        <w:t xml:space="preserve">Its own builder notes say a prospect with no site cannot buy it, and that is this client exactly. Lead with the website one-pager. In a bundled deal the measurement is not a separate sale later, it is the proof loop attached to the build. Present it as one engagement with two phases so it does not sound like an upsell being pre-announced.</w:t>
      </w:r>
    </w:p>
    <w:p>
      <w:pPr>
        <w:pStyle w:val="ListParagraph"/>
        <w:numPr>
          <w:ilvl w:val="0"/>
          <w:numId w:val="1"/>
        </w:numPr>
        <w:spacing w:after="90" w:line="264"/>
      </w:pPr>
      <w:r>
        <w:rPr>
          <w:b/>
          <w:bCs/>
        </w:rPr>
        <w:t xml:space="preserve">The technique checklist still scores llms.txt. </w:t>
      </w:r>
      <w:r>
        <w:t xml:space="preserve">Our own research says drop it, our website says we do not ship it, and objection 1.13 says we would flag it in a competitor's audit. Make sure it does not appear in anything client-facing.</w:t>
      </w:r>
    </w:p>
    <w:p>
      <w:pPr>
        <w:pStyle w:val="ListParagraph"/>
        <w:numPr>
          <w:ilvl w:val="0"/>
          <w:numId w:val="1"/>
        </w:numPr>
        <w:spacing w:after="90" w:line="264"/>
      </w:pPr>
      <w:r>
        <w:rPr>
          <w:b/>
          <w:bCs/>
        </w:rPr>
        <w:t xml:space="preserve">No letter grades in this client's deliverables </w:t>
      </w:r>
      <w:r>
        <w:t xml:space="preserve">until the grader is recalibrated on their kind of answers. Our grade bands were derived on a different vertical. Mention and presence rates only, which is also the more honest unit.</w:t>
      </w:r>
    </w:p>
    <w:p>
      <w:pPr>
        <w:spacing w:after="300"/>
      </w:pPr>
    </w:p>
    <w:p>
      <w:pPr>
        <w:pBdr>
          <w:top w:val="single" w:color="D9D9D9" w:sz="6" w:space="8"/>
        </w:pBdr>
        <w:spacing w:before="200"/>
      </w:pPr>
      <w:r>
        <w:rPr>
          <w:i/>
          <w:iCs/>
          <w:color w:val="595959"/>
          <w:sz w:val="17"/>
          <w:szCs w:val="17"/>
        </w:rPr>
        <w:t xml:space="preserve">Not legal or tax advice. The entity, licensing, contract and tax items in section 3 are general information drawn from our own GTM readiness notes, and should be confirmed with a California attorney and CPA before anything is signed.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2026-07-30T05:39:50.827Z</dcterms:created>
  <dcterms:modified xsi:type="dcterms:W3CDTF">2026-07-30T05:39:50.827Z</dcterms:modified>
</cp:coreProperties>
</file>

<file path=docProps/custom.xml><?xml version="1.0" encoding="utf-8"?>
<Properties xmlns="http://schemas.openxmlformats.org/officeDocument/2006/custom-properties" xmlns:vt="http://schemas.openxmlformats.org/officeDocument/2006/docPropsVTypes"/>
</file>