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F217C" w:rsidRDefault="00BF217C" w:rsidP="00BF217C">
      <w:pPr>
        <w:spacing w:before="80" w:after="80"/>
      </w:pPr>
      <w:r>
        <w:t>This section describes the primary associations between classes in the UML model, including association type, directionality, multiplicity, and the business rationale for each relationship. These associations are implemented as foreign key constraints in the relational schema and as object references in the application layer.</w:t>
      </w:r>
    </w:p>
    <w:p w:rsidR="00BF217C" w:rsidRDefault="00BF217C" w:rsidP="00BF217C">
      <w:pPr>
        <w:spacing w:before="100" w:after="100"/>
      </w:pPr>
    </w:p>
    <w:tbl>
      <w:tblPr>
        <w:tblW w:w="9360"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95"/>
        <w:gridCol w:w="1814"/>
        <w:gridCol w:w="1904"/>
        <w:gridCol w:w="3847"/>
      </w:tblGrid>
      <w:tr w:rsidR="00BF217C" w:rsidTr="00AC5C24">
        <w:tblPrEx>
          <w:tblCellMar>
            <w:top w:w="0" w:type="dxa"/>
            <w:bottom w:w="0" w:type="dxa"/>
          </w:tblCellMar>
        </w:tblPrEx>
        <w:tc>
          <w:tcPr>
            <w:tcW w:w="1800" w:type="dxa"/>
            <w:tcBorders>
              <w:top w:val="single" w:sz="1" w:space="0" w:color="AED6F1"/>
              <w:left w:val="single" w:sz="1" w:space="0" w:color="AED6F1"/>
              <w:bottom w:val="single" w:sz="1" w:space="0" w:color="AED6F1"/>
              <w:right w:val="single" w:sz="1" w:space="0" w:color="AED6F1"/>
            </w:tcBorders>
            <w:shd w:val="clear" w:color="auto" w:fill="1B4F72"/>
            <w:tcMar>
              <w:top w:w="100" w:type="dxa"/>
              <w:left w:w="140" w:type="dxa"/>
              <w:bottom w:w="100" w:type="dxa"/>
              <w:right w:w="140" w:type="dxa"/>
            </w:tcMar>
          </w:tcPr>
          <w:p w:rsidR="00BF217C" w:rsidRDefault="00BF217C" w:rsidP="00AC5C24">
            <w:pPr>
              <w:jc w:val="center"/>
            </w:pPr>
            <w:r>
              <w:rPr>
                <w:b/>
                <w:bCs/>
                <w:color w:val="FFFFFF"/>
                <w:sz w:val="20"/>
                <w:szCs w:val="20"/>
              </w:rPr>
              <w:t>Class A</w:t>
            </w:r>
          </w:p>
        </w:tc>
        <w:tc>
          <w:tcPr>
            <w:tcW w:w="1800" w:type="dxa"/>
            <w:tcBorders>
              <w:top w:val="single" w:sz="1" w:space="0" w:color="AED6F1"/>
              <w:left w:val="single" w:sz="1" w:space="0" w:color="AED6F1"/>
              <w:bottom w:val="single" w:sz="1" w:space="0" w:color="AED6F1"/>
              <w:right w:val="single" w:sz="1" w:space="0" w:color="AED6F1"/>
            </w:tcBorders>
            <w:shd w:val="clear" w:color="auto" w:fill="1B4F72"/>
            <w:tcMar>
              <w:top w:w="100" w:type="dxa"/>
              <w:left w:w="140" w:type="dxa"/>
              <w:bottom w:w="100" w:type="dxa"/>
              <w:right w:w="140" w:type="dxa"/>
            </w:tcMar>
          </w:tcPr>
          <w:p w:rsidR="00BF217C" w:rsidRDefault="00BF217C" w:rsidP="00AC5C24">
            <w:pPr>
              <w:jc w:val="center"/>
            </w:pPr>
            <w:r>
              <w:rPr>
                <w:b/>
                <w:bCs/>
                <w:color w:val="FFFFFF"/>
                <w:sz w:val="20"/>
                <w:szCs w:val="20"/>
              </w:rPr>
              <w:t>Class B</w:t>
            </w:r>
          </w:p>
        </w:tc>
        <w:tc>
          <w:tcPr>
            <w:tcW w:w="1760" w:type="dxa"/>
            <w:tcBorders>
              <w:top w:val="single" w:sz="1" w:space="0" w:color="AED6F1"/>
              <w:left w:val="single" w:sz="1" w:space="0" w:color="AED6F1"/>
              <w:bottom w:val="single" w:sz="1" w:space="0" w:color="AED6F1"/>
              <w:right w:val="single" w:sz="1" w:space="0" w:color="AED6F1"/>
            </w:tcBorders>
            <w:shd w:val="clear" w:color="auto" w:fill="1B4F72"/>
            <w:tcMar>
              <w:top w:w="100" w:type="dxa"/>
              <w:left w:w="140" w:type="dxa"/>
              <w:bottom w:w="100" w:type="dxa"/>
              <w:right w:w="140" w:type="dxa"/>
            </w:tcMar>
          </w:tcPr>
          <w:p w:rsidR="00BF217C" w:rsidRDefault="00BF217C" w:rsidP="00AC5C24">
            <w:pPr>
              <w:jc w:val="center"/>
            </w:pPr>
            <w:r>
              <w:rPr>
                <w:b/>
                <w:bCs/>
                <w:color w:val="FFFFFF"/>
                <w:sz w:val="20"/>
                <w:szCs w:val="20"/>
              </w:rPr>
              <w:t>Association Type</w:t>
            </w:r>
          </w:p>
        </w:tc>
        <w:tc>
          <w:tcPr>
            <w:tcW w:w="4000" w:type="dxa"/>
            <w:tcBorders>
              <w:top w:val="single" w:sz="1" w:space="0" w:color="AED6F1"/>
              <w:left w:val="single" w:sz="1" w:space="0" w:color="AED6F1"/>
              <w:bottom w:val="single" w:sz="1" w:space="0" w:color="AED6F1"/>
              <w:right w:val="single" w:sz="1" w:space="0" w:color="AED6F1"/>
            </w:tcBorders>
            <w:shd w:val="clear" w:color="auto" w:fill="1B4F72"/>
            <w:tcMar>
              <w:top w:w="100" w:type="dxa"/>
              <w:left w:w="140" w:type="dxa"/>
              <w:bottom w:w="100" w:type="dxa"/>
              <w:right w:w="140" w:type="dxa"/>
            </w:tcMar>
          </w:tcPr>
          <w:p w:rsidR="00BF217C" w:rsidRDefault="00BF217C" w:rsidP="00AC5C24">
            <w:pPr>
              <w:jc w:val="center"/>
            </w:pPr>
            <w:r>
              <w:rPr>
                <w:b/>
                <w:bCs/>
                <w:color w:val="FFFFFF"/>
                <w:sz w:val="20"/>
                <w:szCs w:val="20"/>
              </w:rPr>
              <w:t>Description</w:t>
            </w:r>
          </w:p>
        </w:tc>
      </w:tr>
      <w:tr w:rsidR="00BF217C" w:rsidTr="00AC5C24">
        <w:tblPrEx>
          <w:tblCellMar>
            <w:top w:w="0" w:type="dxa"/>
            <w:bottom w:w="0" w:type="dxa"/>
          </w:tblCellMar>
        </w:tblPrEx>
        <w:tc>
          <w:tcPr>
            <w:tcW w:w="18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rsidR="00BF217C" w:rsidRDefault="00BF217C" w:rsidP="00AC5C24">
            <w:r>
              <w:rPr>
                <w:b/>
                <w:bCs/>
                <w:sz w:val="20"/>
                <w:szCs w:val="20"/>
              </w:rPr>
              <w:t>Customer</w:t>
            </w:r>
          </w:p>
        </w:tc>
        <w:tc>
          <w:tcPr>
            <w:tcW w:w="18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rsidR="00BF217C" w:rsidRDefault="00BF217C" w:rsidP="00AC5C24">
            <w:r>
              <w:rPr>
                <w:b/>
                <w:bCs/>
                <w:sz w:val="20"/>
                <w:szCs w:val="20"/>
              </w:rPr>
              <w:t>Order</w:t>
            </w:r>
          </w:p>
        </w:tc>
        <w:tc>
          <w:tcPr>
            <w:tcW w:w="176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rsidR="00BF217C" w:rsidRDefault="00BF217C" w:rsidP="00AC5C24">
            <w:r>
              <w:rPr>
                <w:sz w:val="20"/>
                <w:szCs w:val="20"/>
              </w:rPr>
              <w:t>Association (1 → *)</w:t>
            </w:r>
          </w:p>
        </w:tc>
        <w:tc>
          <w:tcPr>
            <w:tcW w:w="40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rsidR="00BF217C" w:rsidRDefault="00BF217C" w:rsidP="00AC5C24">
            <w:r>
              <w:rPr>
                <w:sz w:val="20"/>
                <w:szCs w:val="20"/>
              </w:rPr>
              <w:t xml:space="preserve">A customer initiates one or more orders. The association carries a </w:t>
            </w:r>
            <w:proofErr w:type="spellStart"/>
            <w:r>
              <w:rPr>
                <w:sz w:val="20"/>
                <w:szCs w:val="20"/>
              </w:rPr>
              <w:t>placedAt</w:t>
            </w:r>
            <w:proofErr w:type="spellEnd"/>
            <w:r>
              <w:rPr>
                <w:sz w:val="20"/>
                <w:szCs w:val="20"/>
              </w:rPr>
              <w:t xml:space="preserve"> timestamp. Anonymous orders have a null customer reference and are linked to a </w:t>
            </w:r>
            <w:proofErr w:type="spellStart"/>
            <w:r>
              <w:rPr>
                <w:sz w:val="20"/>
                <w:szCs w:val="20"/>
              </w:rPr>
              <w:t>GuestSession</w:t>
            </w:r>
            <w:proofErr w:type="spellEnd"/>
            <w:r>
              <w:rPr>
                <w:sz w:val="20"/>
                <w:szCs w:val="20"/>
              </w:rPr>
              <w:t>.</w:t>
            </w:r>
          </w:p>
        </w:tc>
      </w:tr>
      <w:tr w:rsidR="00BF217C" w:rsidTr="00AC5C24">
        <w:tblPrEx>
          <w:tblCellMar>
            <w:top w:w="0" w:type="dxa"/>
            <w:bottom w:w="0" w:type="dxa"/>
          </w:tblCellMar>
        </w:tblPrEx>
        <w:tc>
          <w:tcPr>
            <w:tcW w:w="1800" w:type="dxa"/>
            <w:tcBorders>
              <w:top w:val="single" w:sz="1" w:space="0" w:color="AED6F1"/>
              <w:left w:val="single" w:sz="1" w:space="0" w:color="AED6F1"/>
              <w:bottom w:val="single" w:sz="1" w:space="0" w:color="AED6F1"/>
              <w:right w:val="single" w:sz="1" w:space="0" w:color="AED6F1"/>
            </w:tcBorders>
            <w:shd w:val="clear" w:color="auto" w:fill="F2F3F4"/>
            <w:tcMar>
              <w:top w:w="100" w:type="dxa"/>
              <w:left w:w="140" w:type="dxa"/>
              <w:bottom w:w="100" w:type="dxa"/>
              <w:right w:w="140" w:type="dxa"/>
            </w:tcMar>
          </w:tcPr>
          <w:p w:rsidR="00BF217C" w:rsidRDefault="00BF217C" w:rsidP="00AC5C24">
            <w:r>
              <w:rPr>
                <w:b/>
                <w:bCs/>
                <w:sz w:val="20"/>
                <w:szCs w:val="20"/>
              </w:rPr>
              <w:t>Order</w:t>
            </w:r>
          </w:p>
        </w:tc>
        <w:tc>
          <w:tcPr>
            <w:tcW w:w="1800" w:type="dxa"/>
            <w:tcBorders>
              <w:top w:val="single" w:sz="1" w:space="0" w:color="AED6F1"/>
              <w:left w:val="single" w:sz="1" w:space="0" w:color="AED6F1"/>
              <w:bottom w:val="single" w:sz="1" w:space="0" w:color="AED6F1"/>
              <w:right w:val="single" w:sz="1" w:space="0" w:color="AED6F1"/>
            </w:tcBorders>
            <w:shd w:val="clear" w:color="auto" w:fill="F2F3F4"/>
            <w:tcMar>
              <w:top w:w="100" w:type="dxa"/>
              <w:left w:w="140" w:type="dxa"/>
              <w:bottom w:w="100" w:type="dxa"/>
              <w:right w:w="140" w:type="dxa"/>
            </w:tcMar>
          </w:tcPr>
          <w:p w:rsidR="00BF217C" w:rsidRDefault="00BF217C" w:rsidP="00AC5C24">
            <w:proofErr w:type="spellStart"/>
            <w:r>
              <w:rPr>
                <w:b/>
                <w:bCs/>
                <w:sz w:val="20"/>
                <w:szCs w:val="20"/>
              </w:rPr>
              <w:t>OrderItem</w:t>
            </w:r>
            <w:proofErr w:type="spellEnd"/>
          </w:p>
        </w:tc>
        <w:tc>
          <w:tcPr>
            <w:tcW w:w="1760" w:type="dxa"/>
            <w:tcBorders>
              <w:top w:val="single" w:sz="1" w:space="0" w:color="AED6F1"/>
              <w:left w:val="single" w:sz="1" w:space="0" w:color="AED6F1"/>
              <w:bottom w:val="single" w:sz="1" w:space="0" w:color="AED6F1"/>
              <w:right w:val="single" w:sz="1" w:space="0" w:color="AED6F1"/>
            </w:tcBorders>
            <w:shd w:val="clear" w:color="auto" w:fill="F2F3F4"/>
            <w:tcMar>
              <w:top w:w="100" w:type="dxa"/>
              <w:left w:w="140" w:type="dxa"/>
              <w:bottom w:w="100" w:type="dxa"/>
              <w:right w:w="140" w:type="dxa"/>
            </w:tcMar>
          </w:tcPr>
          <w:p w:rsidR="00BF217C" w:rsidRDefault="00BF217C" w:rsidP="00AC5C24">
            <w:r>
              <w:rPr>
                <w:sz w:val="20"/>
                <w:szCs w:val="20"/>
              </w:rPr>
              <w:t>Composition (1 → 1</w:t>
            </w:r>
            <w:proofErr w:type="gramStart"/>
            <w:r>
              <w:rPr>
                <w:sz w:val="20"/>
                <w:szCs w:val="20"/>
              </w:rPr>
              <w:t>..*</w:t>
            </w:r>
            <w:proofErr w:type="gramEnd"/>
            <w:r>
              <w:rPr>
                <w:sz w:val="20"/>
                <w:szCs w:val="20"/>
              </w:rPr>
              <w:t>)</w:t>
            </w:r>
          </w:p>
        </w:tc>
        <w:tc>
          <w:tcPr>
            <w:tcW w:w="4000" w:type="dxa"/>
            <w:tcBorders>
              <w:top w:val="single" w:sz="1" w:space="0" w:color="AED6F1"/>
              <w:left w:val="single" w:sz="1" w:space="0" w:color="AED6F1"/>
              <w:bottom w:val="single" w:sz="1" w:space="0" w:color="AED6F1"/>
              <w:right w:val="single" w:sz="1" w:space="0" w:color="AED6F1"/>
            </w:tcBorders>
            <w:shd w:val="clear" w:color="auto" w:fill="F2F3F4"/>
            <w:tcMar>
              <w:top w:w="100" w:type="dxa"/>
              <w:left w:w="140" w:type="dxa"/>
              <w:bottom w:w="100" w:type="dxa"/>
              <w:right w:w="140" w:type="dxa"/>
            </w:tcMar>
          </w:tcPr>
          <w:p w:rsidR="00BF217C" w:rsidRDefault="00BF217C" w:rsidP="00AC5C24">
            <w:proofErr w:type="spellStart"/>
            <w:r>
              <w:rPr>
                <w:sz w:val="20"/>
                <w:szCs w:val="20"/>
              </w:rPr>
              <w:t>OrderItems</w:t>
            </w:r>
            <w:proofErr w:type="spellEnd"/>
            <w:r>
              <w:rPr>
                <w:sz w:val="20"/>
                <w:szCs w:val="20"/>
              </w:rPr>
              <w:t xml:space="preserve"> exist only within an Order. Deleting (cancelling) an Order cascades to its </w:t>
            </w:r>
            <w:proofErr w:type="spellStart"/>
            <w:r>
              <w:rPr>
                <w:sz w:val="20"/>
                <w:szCs w:val="20"/>
              </w:rPr>
              <w:t>OrderItems</w:t>
            </w:r>
            <w:proofErr w:type="spellEnd"/>
            <w:r>
              <w:rPr>
                <w:sz w:val="20"/>
                <w:szCs w:val="20"/>
              </w:rPr>
              <w:t xml:space="preserve">. At least one </w:t>
            </w:r>
            <w:proofErr w:type="spellStart"/>
            <w:r>
              <w:rPr>
                <w:sz w:val="20"/>
                <w:szCs w:val="20"/>
              </w:rPr>
              <w:t>OrderItem</w:t>
            </w:r>
            <w:proofErr w:type="spellEnd"/>
            <w:r>
              <w:rPr>
                <w:sz w:val="20"/>
                <w:szCs w:val="20"/>
              </w:rPr>
              <w:t xml:space="preserve"> is required for an Order to be valid.</w:t>
            </w:r>
          </w:p>
        </w:tc>
      </w:tr>
      <w:tr w:rsidR="00BF217C" w:rsidTr="00AC5C24">
        <w:tblPrEx>
          <w:tblCellMar>
            <w:top w:w="0" w:type="dxa"/>
            <w:bottom w:w="0" w:type="dxa"/>
          </w:tblCellMar>
        </w:tblPrEx>
        <w:tc>
          <w:tcPr>
            <w:tcW w:w="18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rsidR="00BF217C" w:rsidRDefault="00BF217C" w:rsidP="00AC5C24">
            <w:proofErr w:type="spellStart"/>
            <w:r>
              <w:rPr>
                <w:b/>
                <w:bCs/>
                <w:sz w:val="20"/>
                <w:szCs w:val="20"/>
              </w:rPr>
              <w:t>OrderItem</w:t>
            </w:r>
            <w:proofErr w:type="spellEnd"/>
          </w:p>
        </w:tc>
        <w:tc>
          <w:tcPr>
            <w:tcW w:w="18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rsidR="00BF217C" w:rsidRDefault="00BF217C" w:rsidP="00AC5C24">
            <w:proofErr w:type="spellStart"/>
            <w:r>
              <w:rPr>
                <w:b/>
                <w:bCs/>
                <w:sz w:val="20"/>
                <w:szCs w:val="20"/>
              </w:rPr>
              <w:t>MenuItem</w:t>
            </w:r>
            <w:proofErr w:type="spellEnd"/>
          </w:p>
        </w:tc>
        <w:tc>
          <w:tcPr>
            <w:tcW w:w="176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rsidR="00BF217C" w:rsidRDefault="00BF217C" w:rsidP="00AC5C24">
            <w:r>
              <w:rPr>
                <w:sz w:val="20"/>
                <w:szCs w:val="20"/>
              </w:rPr>
              <w:t>Association (* → 1)</w:t>
            </w:r>
          </w:p>
        </w:tc>
        <w:tc>
          <w:tcPr>
            <w:tcW w:w="40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rsidR="00BF217C" w:rsidRDefault="00BF217C" w:rsidP="00AC5C24">
            <w:r>
              <w:rPr>
                <w:sz w:val="20"/>
                <w:szCs w:val="20"/>
              </w:rPr>
              <w:t xml:space="preserve">The association copies </w:t>
            </w:r>
            <w:proofErr w:type="spellStart"/>
            <w:r>
              <w:rPr>
                <w:sz w:val="20"/>
                <w:szCs w:val="20"/>
              </w:rPr>
              <w:t>unit_price</w:t>
            </w:r>
            <w:proofErr w:type="spellEnd"/>
            <w:r>
              <w:rPr>
                <w:sz w:val="20"/>
                <w:szCs w:val="20"/>
              </w:rPr>
              <w:t xml:space="preserve"> from </w:t>
            </w:r>
            <w:proofErr w:type="spellStart"/>
            <w:r>
              <w:rPr>
                <w:sz w:val="20"/>
                <w:szCs w:val="20"/>
              </w:rPr>
              <w:t>MenuItem</w:t>
            </w:r>
            <w:proofErr w:type="spellEnd"/>
            <w:r>
              <w:rPr>
                <w:sz w:val="20"/>
                <w:szCs w:val="20"/>
              </w:rPr>
              <w:t xml:space="preserve"> at creation time to decouple historical order value from future price changes.</w:t>
            </w:r>
          </w:p>
        </w:tc>
      </w:tr>
      <w:tr w:rsidR="00BF217C" w:rsidTr="00AC5C24">
        <w:tblPrEx>
          <w:tblCellMar>
            <w:top w:w="0" w:type="dxa"/>
            <w:bottom w:w="0" w:type="dxa"/>
          </w:tblCellMar>
        </w:tblPrEx>
        <w:tc>
          <w:tcPr>
            <w:tcW w:w="1800" w:type="dxa"/>
            <w:tcBorders>
              <w:top w:val="single" w:sz="1" w:space="0" w:color="AED6F1"/>
              <w:left w:val="single" w:sz="1" w:space="0" w:color="AED6F1"/>
              <w:bottom w:val="single" w:sz="1" w:space="0" w:color="AED6F1"/>
              <w:right w:val="single" w:sz="1" w:space="0" w:color="AED6F1"/>
            </w:tcBorders>
            <w:shd w:val="clear" w:color="auto" w:fill="F2F3F4"/>
            <w:tcMar>
              <w:top w:w="100" w:type="dxa"/>
              <w:left w:w="140" w:type="dxa"/>
              <w:bottom w:w="100" w:type="dxa"/>
              <w:right w:w="140" w:type="dxa"/>
            </w:tcMar>
          </w:tcPr>
          <w:p w:rsidR="00BF217C" w:rsidRDefault="00BF217C" w:rsidP="00AC5C24">
            <w:proofErr w:type="spellStart"/>
            <w:r>
              <w:rPr>
                <w:b/>
                <w:bCs/>
                <w:sz w:val="20"/>
                <w:szCs w:val="20"/>
              </w:rPr>
              <w:t>MenuItem</w:t>
            </w:r>
            <w:proofErr w:type="spellEnd"/>
          </w:p>
        </w:tc>
        <w:tc>
          <w:tcPr>
            <w:tcW w:w="1800" w:type="dxa"/>
            <w:tcBorders>
              <w:top w:val="single" w:sz="1" w:space="0" w:color="AED6F1"/>
              <w:left w:val="single" w:sz="1" w:space="0" w:color="AED6F1"/>
              <w:bottom w:val="single" w:sz="1" w:space="0" w:color="AED6F1"/>
              <w:right w:val="single" w:sz="1" w:space="0" w:color="AED6F1"/>
            </w:tcBorders>
            <w:shd w:val="clear" w:color="auto" w:fill="F2F3F4"/>
            <w:tcMar>
              <w:top w:w="100" w:type="dxa"/>
              <w:left w:w="140" w:type="dxa"/>
              <w:bottom w:w="100" w:type="dxa"/>
              <w:right w:w="140" w:type="dxa"/>
            </w:tcMar>
          </w:tcPr>
          <w:p w:rsidR="00BF217C" w:rsidRDefault="00BF217C" w:rsidP="00AC5C24">
            <w:r>
              <w:rPr>
                <w:b/>
                <w:bCs/>
                <w:sz w:val="20"/>
                <w:szCs w:val="20"/>
              </w:rPr>
              <w:t>Recipe</w:t>
            </w:r>
          </w:p>
        </w:tc>
        <w:tc>
          <w:tcPr>
            <w:tcW w:w="1760" w:type="dxa"/>
            <w:tcBorders>
              <w:top w:val="single" w:sz="1" w:space="0" w:color="AED6F1"/>
              <w:left w:val="single" w:sz="1" w:space="0" w:color="AED6F1"/>
              <w:bottom w:val="single" w:sz="1" w:space="0" w:color="AED6F1"/>
              <w:right w:val="single" w:sz="1" w:space="0" w:color="AED6F1"/>
            </w:tcBorders>
            <w:shd w:val="clear" w:color="auto" w:fill="F2F3F4"/>
            <w:tcMar>
              <w:top w:w="100" w:type="dxa"/>
              <w:left w:w="140" w:type="dxa"/>
              <w:bottom w:w="100" w:type="dxa"/>
              <w:right w:w="140" w:type="dxa"/>
            </w:tcMar>
          </w:tcPr>
          <w:p w:rsidR="00BF217C" w:rsidRDefault="00BF217C" w:rsidP="00AC5C24">
            <w:r>
              <w:rPr>
                <w:sz w:val="20"/>
                <w:szCs w:val="20"/>
              </w:rPr>
              <w:t>Association (1 → 1)</w:t>
            </w:r>
          </w:p>
        </w:tc>
        <w:tc>
          <w:tcPr>
            <w:tcW w:w="4000" w:type="dxa"/>
            <w:tcBorders>
              <w:top w:val="single" w:sz="1" w:space="0" w:color="AED6F1"/>
              <w:left w:val="single" w:sz="1" w:space="0" w:color="AED6F1"/>
              <w:bottom w:val="single" w:sz="1" w:space="0" w:color="AED6F1"/>
              <w:right w:val="single" w:sz="1" w:space="0" w:color="AED6F1"/>
            </w:tcBorders>
            <w:shd w:val="clear" w:color="auto" w:fill="F2F3F4"/>
            <w:tcMar>
              <w:top w:w="100" w:type="dxa"/>
              <w:left w:w="140" w:type="dxa"/>
              <w:bottom w:w="100" w:type="dxa"/>
              <w:right w:w="140" w:type="dxa"/>
            </w:tcMar>
          </w:tcPr>
          <w:p w:rsidR="00BF217C" w:rsidRDefault="00BF217C" w:rsidP="00AC5C24">
            <w:r>
              <w:rPr>
                <w:sz w:val="20"/>
                <w:szCs w:val="20"/>
              </w:rPr>
              <w:t xml:space="preserve">Each active </w:t>
            </w:r>
            <w:proofErr w:type="spellStart"/>
            <w:r>
              <w:rPr>
                <w:sz w:val="20"/>
                <w:szCs w:val="20"/>
              </w:rPr>
              <w:t>MenuItem</w:t>
            </w:r>
            <w:proofErr w:type="spellEnd"/>
            <w:r>
              <w:rPr>
                <w:sz w:val="20"/>
                <w:szCs w:val="20"/>
              </w:rPr>
              <w:t xml:space="preserve"> must reference exactly one Recipe. When a recipe changes materially, a new Recipe version is created and the </w:t>
            </w:r>
            <w:proofErr w:type="spellStart"/>
            <w:r>
              <w:rPr>
                <w:sz w:val="20"/>
                <w:szCs w:val="20"/>
              </w:rPr>
              <w:t>MenuItem</w:t>
            </w:r>
            <w:proofErr w:type="spellEnd"/>
            <w:r>
              <w:rPr>
                <w:sz w:val="20"/>
                <w:szCs w:val="20"/>
              </w:rPr>
              <w:t xml:space="preserve"> version is also incremented.</w:t>
            </w:r>
          </w:p>
        </w:tc>
      </w:tr>
      <w:tr w:rsidR="00BF217C" w:rsidTr="00AC5C24">
        <w:tblPrEx>
          <w:tblCellMar>
            <w:top w:w="0" w:type="dxa"/>
            <w:bottom w:w="0" w:type="dxa"/>
          </w:tblCellMar>
        </w:tblPrEx>
        <w:tc>
          <w:tcPr>
            <w:tcW w:w="18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rsidR="00BF217C" w:rsidRDefault="00BF217C" w:rsidP="00AC5C24">
            <w:r>
              <w:rPr>
                <w:b/>
                <w:bCs/>
                <w:sz w:val="20"/>
                <w:szCs w:val="20"/>
              </w:rPr>
              <w:t>Recipe</w:t>
            </w:r>
          </w:p>
        </w:tc>
        <w:tc>
          <w:tcPr>
            <w:tcW w:w="18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rsidR="00BF217C" w:rsidRDefault="00BF217C" w:rsidP="00AC5C24">
            <w:r>
              <w:rPr>
                <w:b/>
                <w:bCs/>
                <w:sz w:val="20"/>
                <w:szCs w:val="20"/>
              </w:rPr>
              <w:t>Ingredient</w:t>
            </w:r>
          </w:p>
        </w:tc>
        <w:tc>
          <w:tcPr>
            <w:tcW w:w="176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rsidR="00BF217C" w:rsidRDefault="00BF217C" w:rsidP="00AC5C24">
            <w:r>
              <w:rPr>
                <w:sz w:val="20"/>
                <w:szCs w:val="20"/>
              </w:rPr>
              <w:t xml:space="preserve">Association (* ↔ *) via </w:t>
            </w:r>
            <w:proofErr w:type="spellStart"/>
            <w:r>
              <w:rPr>
                <w:sz w:val="20"/>
                <w:szCs w:val="20"/>
              </w:rPr>
              <w:t>RecipeIngredient</w:t>
            </w:r>
            <w:proofErr w:type="spellEnd"/>
          </w:p>
        </w:tc>
        <w:tc>
          <w:tcPr>
            <w:tcW w:w="40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rsidR="00BF217C" w:rsidRDefault="00BF217C" w:rsidP="00AC5C24">
            <w:r>
              <w:rPr>
                <w:sz w:val="20"/>
                <w:szCs w:val="20"/>
              </w:rPr>
              <w:t xml:space="preserve">The </w:t>
            </w:r>
            <w:proofErr w:type="spellStart"/>
            <w:r>
              <w:rPr>
                <w:sz w:val="20"/>
                <w:szCs w:val="20"/>
              </w:rPr>
              <w:t>RecipeIngredient</w:t>
            </w:r>
            <w:proofErr w:type="spellEnd"/>
            <w:r>
              <w:rPr>
                <w:sz w:val="20"/>
                <w:szCs w:val="20"/>
              </w:rPr>
              <w:t xml:space="preserve"> junction class carries quantity and </w:t>
            </w:r>
            <w:proofErr w:type="spellStart"/>
            <w:r>
              <w:rPr>
                <w:sz w:val="20"/>
                <w:szCs w:val="20"/>
              </w:rPr>
              <w:t>unit_of_measure</w:t>
            </w:r>
            <w:proofErr w:type="spellEnd"/>
            <w:r>
              <w:rPr>
                <w:sz w:val="20"/>
                <w:szCs w:val="20"/>
              </w:rPr>
              <w:t xml:space="preserve">. This association drives automatic inventory deduction when a </w:t>
            </w:r>
            <w:proofErr w:type="spellStart"/>
            <w:r>
              <w:rPr>
                <w:sz w:val="20"/>
                <w:szCs w:val="20"/>
              </w:rPr>
              <w:t>KitchenTicket</w:t>
            </w:r>
            <w:proofErr w:type="spellEnd"/>
            <w:r>
              <w:rPr>
                <w:sz w:val="20"/>
                <w:szCs w:val="20"/>
              </w:rPr>
              <w:t xml:space="preserve"> is created.</w:t>
            </w:r>
          </w:p>
        </w:tc>
      </w:tr>
      <w:tr w:rsidR="00BF217C" w:rsidTr="00AC5C24">
        <w:tblPrEx>
          <w:tblCellMar>
            <w:top w:w="0" w:type="dxa"/>
            <w:bottom w:w="0" w:type="dxa"/>
          </w:tblCellMar>
        </w:tblPrEx>
        <w:tc>
          <w:tcPr>
            <w:tcW w:w="1800" w:type="dxa"/>
            <w:tcBorders>
              <w:top w:val="single" w:sz="1" w:space="0" w:color="AED6F1"/>
              <w:left w:val="single" w:sz="1" w:space="0" w:color="AED6F1"/>
              <w:bottom w:val="single" w:sz="1" w:space="0" w:color="AED6F1"/>
              <w:right w:val="single" w:sz="1" w:space="0" w:color="AED6F1"/>
            </w:tcBorders>
            <w:shd w:val="clear" w:color="auto" w:fill="F2F3F4"/>
            <w:tcMar>
              <w:top w:w="100" w:type="dxa"/>
              <w:left w:w="140" w:type="dxa"/>
              <w:bottom w:w="100" w:type="dxa"/>
              <w:right w:w="140" w:type="dxa"/>
            </w:tcMar>
          </w:tcPr>
          <w:p w:rsidR="00BF217C" w:rsidRDefault="00BF217C" w:rsidP="00AC5C24">
            <w:r>
              <w:rPr>
                <w:b/>
                <w:bCs/>
                <w:sz w:val="20"/>
                <w:szCs w:val="20"/>
              </w:rPr>
              <w:t>Order</w:t>
            </w:r>
          </w:p>
        </w:tc>
        <w:tc>
          <w:tcPr>
            <w:tcW w:w="1800" w:type="dxa"/>
            <w:tcBorders>
              <w:top w:val="single" w:sz="1" w:space="0" w:color="AED6F1"/>
              <w:left w:val="single" w:sz="1" w:space="0" w:color="AED6F1"/>
              <w:bottom w:val="single" w:sz="1" w:space="0" w:color="AED6F1"/>
              <w:right w:val="single" w:sz="1" w:space="0" w:color="AED6F1"/>
            </w:tcBorders>
            <w:shd w:val="clear" w:color="auto" w:fill="F2F3F4"/>
            <w:tcMar>
              <w:top w:w="100" w:type="dxa"/>
              <w:left w:w="140" w:type="dxa"/>
              <w:bottom w:w="100" w:type="dxa"/>
              <w:right w:w="140" w:type="dxa"/>
            </w:tcMar>
          </w:tcPr>
          <w:p w:rsidR="00BF217C" w:rsidRDefault="00BF217C" w:rsidP="00AC5C24">
            <w:proofErr w:type="spellStart"/>
            <w:r>
              <w:rPr>
                <w:b/>
                <w:bCs/>
                <w:sz w:val="20"/>
                <w:szCs w:val="20"/>
              </w:rPr>
              <w:t>KitchenTicket</w:t>
            </w:r>
            <w:proofErr w:type="spellEnd"/>
          </w:p>
        </w:tc>
        <w:tc>
          <w:tcPr>
            <w:tcW w:w="1760" w:type="dxa"/>
            <w:tcBorders>
              <w:top w:val="single" w:sz="1" w:space="0" w:color="AED6F1"/>
              <w:left w:val="single" w:sz="1" w:space="0" w:color="AED6F1"/>
              <w:bottom w:val="single" w:sz="1" w:space="0" w:color="AED6F1"/>
              <w:right w:val="single" w:sz="1" w:space="0" w:color="AED6F1"/>
            </w:tcBorders>
            <w:shd w:val="clear" w:color="auto" w:fill="F2F3F4"/>
            <w:tcMar>
              <w:top w:w="100" w:type="dxa"/>
              <w:left w:w="140" w:type="dxa"/>
              <w:bottom w:w="100" w:type="dxa"/>
              <w:right w:w="140" w:type="dxa"/>
            </w:tcMar>
          </w:tcPr>
          <w:p w:rsidR="00BF217C" w:rsidRDefault="00BF217C" w:rsidP="00AC5C24">
            <w:r>
              <w:rPr>
                <w:sz w:val="20"/>
                <w:szCs w:val="20"/>
              </w:rPr>
              <w:t>Dependency (1 → 1)</w:t>
            </w:r>
          </w:p>
        </w:tc>
        <w:tc>
          <w:tcPr>
            <w:tcW w:w="4000" w:type="dxa"/>
            <w:tcBorders>
              <w:top w:val="single" w:sz="1" w:space="0" w:color="AED6F1"/>
              <w:left w:val="single" w:sz="1" w:space="0" w:color="AED6F1"/>
              <w:bottom w:val="single" w:sz="1" w:space="0" w:color="AED6F1"/>
              <w:right w:val="single" w:sz="1" w:space="0" w:color="AED6F1"/>
            </w:tcBorders>
            <w:shd w:val="clear" w:color="auto" w:fill="F2F3F4"/>
            <w:tcMar>
              <w:top w:w="100" w:type="dxa"/>
              <w:left w:w="140" w:type="dxa"/>
              <w:bottom w:w="100" w:type="dxa"/>
              <w:right w:w="140" w:type="dxa"/>
            </w:tcMar>
          </w:tcPr>
          <w:p w:rsidR="00BF217C" w:rsidRDefault="00BF217C" w:rsidP="00AC5C24">
            <w:proofErr w:type="spellStart"/>
            <w:r>
              <w:rPr>
                <w:sz w:val="20"/>
                <w:szCs w:val="20"/>
              </w:rPr>
              <w:t>KitchenTicket</w:t>
            </w:r>
            <w:proofErr w:type="spellEnd"/>
            <w:r>
              <w:rPr>
                <w:sz w:val="20"/>
                <w:szCs w:val="20"/>
              </w:rPr>
              <w:t xml:space="preserve"> is created as a side effect of </w:t>
            </w:r>
            <w:proofErr w:type="spellStart"/>
            <w:proofErr w:type="gramStart"/>
            <w:r>
              <w:rPr>
                <w:sz w:val="20"/>
                <w:szCs w:val="20"/>
              </w:rPr>
              <w:t>Order.submit</w:t>
            </w:r>
            <w:proofErr w:type="spellEnd"/>
            <w:r>
              <w:rPr>
                <w:sz w:val="20"/>
                <w:szCs w:val="20"/>
              </w:rPr>
              <w:t>(</w:t>
            </w:r>
            <w:proofErr w:type="gramEnd"/>
            <w:r>
              <w:rPr>
                <w:sz w:val="20"/>
                <w:szCs w:val="20"/>
              </w:rPr>
              <w:t xml:space="preserve">). The relationship is navigable from Order to </w:t>
            </w:r>
            <w:proofErr w:type="spellStart"/>
            <w:r>
              <w:rPr>
                <w:sz w:val="20"/>
                <w:szCs w:val="20"/>
              </w:rPr>
              <w:t>KitchenTicket</w:t>
            </w:r>
            <w:proofErr w:type="spellEnd"/>
            <w:r>
              <w:rPr>
                <w:sz w:val="20"/>
                <w:szCs w:val="20"/>
              </w:rPr>
              <w:t xml:space="preserve"> only; the kitchen domain does not reference the Order directly to enforce bounded context separation.</w:t>
            </w:r>
          </w:p>
        </w:tc>
      </w:tr>
      <w:tr w:rsidR="00BF217C" w:rsidTr="00AC5C24">
        <w:tblPrEx>
          <w:tblCellMar>
            <w:top w:w="0" w:type="dxa"/>
            <w:bottom w:w="0" w:type="dxa"/>
          </w:tblCellMar>
        </w:tblPrEx>
        <w:tc>
          <w:tcPr>
            <w:tcW w:w="18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rsidR="00BF217C" w:rsidRDefault="00BF217C" w:rsidP="00AC5C24">
            <w:proofErr w:type="spellStart"/>
            <w:r>
              <w:rPr>
                <w:b/>
                <w:bCs/>
                <w:sz w:val="20"/>
                <w:szCs w:val="20"/>
              </w:rPr>
              <w:t>KitchenTicket</w:t>
            </w:r>
            <w:proofErr w:type="spellEnd"/>
          </w:p>
        </w:tc>
        <w:tc>
          <w:tcPr>
            <w:tcW w:w="18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rsidR="00BF217C" w:rsidRDefault="00BF217C" w:rsidP="00AC5C24">
            <w:proofErr w:type="spellStart"/>
            <w:r>
              <w:rPr>
                <w:b/>
                <w:bCs/>
                <w:sz w:val="20"/>
                <w:szCs w:val="20"/>
              </w:rPr>
              <w:t>KitchenStation</w:t>
            </w:r>
            <w:proofErr w:type="spellEnd"/>
          </w:p>
        </w:tc>
        <w:tc>
          <w:tcPr>
            <w:tcW w:w="176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rsidR="00BF217C" w:rsidRDefault="00BF217C" w:rsidP="00AC5C24">
            <w:r>
              <w:rPr>
                <w:sz w:val="20"/>
                <w:szCs w:val="20"/>
              </w:rPr>
              <w:t>Association (* → 1)</w:t>
            </w:r>
          </w:p>
        </w:tc>
        <w:tc>
          <w:tcPr>
            <w:tcW w:w="40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rsidR="00BF217C" w:rsidRDefault="00BF217C" w:rsidP="00AC5C24">
            <w:r>
              <w:rPr>
                <w:sz w:val="20"/>
                <w:szCs w:val="20"/>
              </w:rPr>
              <w:t xml:space="preserve">Routing rules (by menu category, time of day, or station capacity) determine which </w:t>
            </w:r>
            <w:proofErr w:type="spellStart"/>
            <w:r>
              <w:rPr>
                <w:sz w:val="20"/>
                <w:szCs w:val="20"/>
              </w:rPr>
              <w:t>KitchenStation</w:t>
            </w:r>
            <w:proofErr w:type="spellEnd"/>
            <w:r>
              <w:rPr>
                <w:sz w:val="20"/>
                <w:szCs w:val="20"/>
              </w:rPr>
              <w:t xml:space="preserve"> receives the ticket. Routing logic is encapsulated in the </w:t>
            </w:r>
            <w:proofErr w:type="spellStart"/>
            <w:r>
              <w:rPr>
                <w:sz w:val="20"/>
                <w:szCs w:val="20"/>
              </w:rPr>
              <w:t>TicketRouter</w:t>
            </w:r>
            <w:proofErr w:type="spellEnd"/>
            <w:r>
              <w:rPr>
                <w:sz w:val="20"/>
                <w:szCs w:val="20"/>
              </w:rPr>
              <w:t xml:space="preserve"> service class.</w:t>
            </w:r>
          </w:p>
        </w:tc>
      </w:tr>
      <w:tr w:rsidR="00BF217C" w:rsidTr="00AC5C24">
        <w:tblPrEx>
          <w:tblCellMar>
            <w:top w:w="0" w:type="dxa"/>
            <w:bottom w:w="0" w:type="dxa"/>
          </w:tblCellMar>
        </w:tblPrEx>
        <w:tc>
          <w:tcPr>
            <w:tcW w:w="1800" w:type="dxa"/>
            <w:tcBorders>
              <w:top w:val="single" w:sz="1" w:space="0" w:color="AED6F1"/>
              <w:left w:val="single" w:sz="1" w:space="0" w:color="AED6F1"/>
              <w:bottom w:val="single" w:sz="1" w:space="0" w:color="AED6F1"/>
              <w:right w:val="single" w:sz="1" w:space="0" w:color="AED6F1"/>
            </w:tcBorders>
            <w:shd w:val="clear" w:color="auto" w:fill="F2F3F4"/>
            <w:tcMar>
              <w:top w:w="100" w:type="dxa"/>
              <w:left w:w="140" w:type="dxa"/>
              <w:bottom w:w="100" w:type="dxa"/>
              <w:right w:w="140" w:type="dxa"/>
            </w:tcMar>
          </w:tcPr>
          <w:p w:rsidR="00BF217C" w:rsidRDefault="00BF217C" w:rsidP="00AC5C24">
            <w:r>
              <w:rPr>
                <w:b/>
                <w:bCs/>
                <w:sz w:val="20"/>
                <w:szCs w:val="20"/>
              </w:rPr>
              <w:t>Order</w:t>
            </w:r>
          </w:p>
        </w:tc>
        <w:tc>
          <w:tcPr>
            <w:tcW w:w="1800" w:type="dxa"/>
            <w:tcBorders>
              <w:top w:val="single" w:sz="1" w:space="0" w:color="AED6F1"/>
              <w:left w:val="single" w:sz="1" w:space="0" w:color="AED6F1"/>
              <w:bottom w:val="single" w:sz="1" w:space="0" w:color="AED6F1"/>
              <w:right w:val="single" w:sz="1" w:space="0" w:color="AED6F1"/>
            </w:tcBorders>
            <w:shd w:val="clear" w:color="auto" w:fill="F2F3F4"/>
            <w:tcMar>
              <w:top w:w="100" w:type="dxa"/>
              <w:left w:w="140" w:type="dxa"/>
              <w:bottom w:w="100" w:type="dxa"/>
              <w:right w:w="140" w:type="dxa"/>
            </w:tcMar>
          </w:tcPr>
          <w:p w:rsidR="00BF217C" w:rsidRDefault="00BF217C" w:rsidP="00AC5C24">
            <w:r>
              <w:rPr>
                <w:b/>
                <w:bCs/>
                <w:sz w:val="20"/>
                <w:szCs w:val="20"/>
              </w:rPr>
              <w:t>Payment</w:t>
            </w:r>
          </w:p>
        </w:tc>
        <w:tc>
          <w:tcPr>
            <w:tcW w:w="1760" w:type="dxa"/>
            <w:tcBorders>
              <w:top w:val="single" w:sz="1" w:space="0" w:color="AED6F1"/>
              <w:left w:val="single" w:sz="1" w:space="0" w:color="AED6F1"/>
              <w:bottom w:val="single" w:sz="1" w:space="0" w:color="AED6F1"/>
              <w:right w:val="single" w:sz="1" w:space="0" w:color="AED6F1"/>
            </w:tcBorders>
            <w:shd w:val="clear" w:color="auto" w:fill="F2F3F4"/>
            <w:tcMar>
              <w:top w:w="100" w:type="dxa"/>
              <w:left w:w="140" w:type="dxa"/>
              <w:bottom w:w="100" w:type="dxa"/>
              <w:right w:w="140" w:type="dxa"/>
            </w:tcMar>
          </w:tcPr>
          <w:p w:rsidR="00BF217C" w:rsidRDefault="00BF217C" w:rsidP="00AC5C24">
            <w:r>
              <w:rPr>
                <w:sz w:val="20"/>
                <w:szCs w:val="20"/>
              </w:rPr>
              <w:t>Association (1 → 1</w:t>
            </w:r>
            <w:proofErr w:type="gramStart"/>
            <w:r>
              <w:rPr>
                <w:sz w:val="20"/>
                <w:szCs w:val="20"/>
              </w:rPr>
              <w:t>..*</w:t>
            </w:r>
            <w:proofErr w:type="gramEnd"/>
            <w:r>
              <w:rPr>
                <w:sz w:val="20"/>
                <w:szCs w:val="20"/>
              </w:rPr>
              <w:t>)</w:t>
            </w:r>
          </w:p>
        </w:tc>
        <w:tc>
          <w:tcPr>
            <w:tcW w:w="4000" w:type="dxa"/>
            <w:tcBorders>
              <w:top w:val="single" w:sz="1" w:space="0" w:color="AED6F1"/>
              <w:left w:val="single" w:sz="1" w:space="0" w:color="AED6F1"/>
              <w:bottom w:val="single" w:sz="1" w:space="0" w:color="AED6F1"/>
              <w:right w:val="single" w:sz="1" w:space="0" w:color="AED6F1"/>
            </w:tcBorders>
            <w:shd w:val="clear" w:color="auto" w:fill="F2F3F4"/>
            <w:tcMar>
              <w:top w:w="100" w:type="dxa"/>
              <w:left w:w="140" w:type="dxa"/>
              <w:bottom w:w="100" w:type="dxa"/>
              <w:right w:w="140" w:type="dxa"/>
            </w:tcMar>
          </w:tcPr>
          <w:p w:rsidR="00BF217C" w:rsidRDefault="00BF217C" w:rsidP="00AC5C24">
            <w:r>
              <w:rPr>
                <w:sz w:val="20"/>
                <w:szCs w:val="20"/>
              </w:rPr>
              <w:t xml:space="preserve">Supports split payment (multiple Payment records per Order). An Order is considered fully paid when the sum of settled Payment amounts equals </w:t>
            </w:r>
            <w:proofErr w:type="spellStart"/>
            <w:r>
              <w:rPr>
                <w:sz w:val="20"/>
                <w:szCs w:val="20"/>
              </w:rPr>
              <w:lastRenderedPageBreak/>
              <w:t>totalAmount</w:t>
            </w:r>
            <w:proofErr w:type="spellEnd"/>
            <w:r>
              <w:rPr>
                <w:sz w:val="20"/>
                <w:szCs w:val="20"/>
              </w:rPr>
              <w:t>. Partial payments are tracked but the Order status does not advance until fully paid.</w:t>
            </w:r>
          </w:p>
        </w:tc>
      </w:tr>
      <w:tr w:rsidR="00BF217C" w:rsidTr="00AC5C24">
        <w:tblPrEx>
          <w:tblCellMar>
            <w:top w:w="0" w:type="dxa"/>
            <w:bottom w:w="0" w:type="dxa"/>
          </w:tblCellMar>
        </w:tblPrEx>
        <w:tc>
          <w:tcPr>
            <w:tcW w:w="18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rsidR="00BF217C" w:rsidRDefault="00BF217C" w:rsidP="00AC5C24">
            <w:r>
              <w:rPr>
                <w:b/>
                <w:bCs/>
                <w:sz w:val="20"/>
                <w:szCs w:val="20"/>
              </w:rPr>
              <w:lastRenderedPageBreak/>
              <w:t>Staff</w:t>
            </w:r>
          </w:p>
        </w:tc>
        <w:tc>
          <w:tcPr>
            <w:tcW w:w="18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rsidR="00BF217C" w:rsidRDefault="00BF217C" w:rsidP="00AC5C24">
            <w:r>
              <w:rPr>
                <w:b/>
                <w:bCs/>
                <w:sz w:val="20"/>
                <w:szCs w:val="20"/>
              </w:rPr>
              <w:t>Shift</w:t>
            </w:r>
          </w:p>
        </w:tc>
        <w:tc>
          <w:tcPr>
            <w:tcW w:w="176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rsidR="00BF217C" w:rsidRDefault="00BF217C" w:rsidP="00AC5C24">
            <w:r>
              <w:rPr>
                <w:sz w:val="20"/>
                <w:szCs w:val="20"/>
              </w:rPr>
              <w:t>Association (1 → *)</w:t>
            </w:r>
          </w:p>
        </w:tc>
        <w:tc>
          <w:tcPr>
            <w:tcW w:w="40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rsidR="00BF217C" w:rsidRDefault="00BF217C" w:rsidP="00AC5C24">
            <w:r>
              <w:rPr>
                <w:sz w:val="20"/>
                <w:szCs w:val="20"/>
              </w:rPr>
              <w:t>A Staff member is assigned to shifts by the scheduling engine or Cafeteria Director. Shift conflicts (overlapping times for the same staff member) are validated at creation time.</w:t>
            </w:r>
          </w:p>
        </w:tc>
      </w:tr>
      <w:tr w:rsidR="00BF217C" w:rsidTr="00AC5C24">
        <w:tblPrEx>
          <w:tblCellMar>
            <w:top w:w="0" w:type="dxa"/>
            <w:bottom w:w="0" w:type="dxa"/>
          </w:tblCellMar>
        </w:tblPrEx>
        <w:tc>
          <w:tcPr>
            <w:tcW w:w="1800" w:type="dxa"/>
            <w:tcBorders>
              <w:top w:val="single" w:sz="1" w:space="0" w:color="AED6F1"/>
              <w:left w:val="single" w:sz="1" w:space="0" w:color="AED6F1"/>
              <w:bottom w:val="single" w:sz="1" w:space="0" w:color="AED6F1"/>
              <w:right w:val="single" w:sz="1" w:space="0" w:color="AED6F1"/>
            </w:tcBorders>
            <w:shd w:val="clear" w:color="auto" w:fill="F2F3F4"/>
            <w:tcMar>
              <w:top w:w="100" w:type="dxa"/>
              <w:left w:w="140" w:type="dxa"/>
              <w:bottom w:w="100" w:type="dxa"/>
              <w:right w:w="140" w:type="dxa"/>
            </w:tcMar>
          </w:tcPr>
          <w:p w:rsidR="00BF217C" w:rsidRDefault="00BF217C" w:rsidP="00AC5C24">
            <w:r>
              <w:rPr>
                <w:b/>
                <w:bCs/>
                <w:sz w:val="20"/>
                <w:szCs w:val="20"/>
              </w:rPr>
              <w:t>Staff</w:t>
            </w:r>
          </w:p>
        </w:tc>
        <w:tc>
          <w:tcPr>
            <w:tcW w:w="1800" w:type="dxa"/>
            <w:tcBorders>
              <w:top w:val="single" w:sz="1" w:space="0" w:color="AED6F1"/>
              <w:left w:val="single" w:sz="1" w:space="0" w:color="AED6F1"/>
              <w:bottom w:val="single" w:sz="1" w:space="0" w:color="AED6F1"/>
              <w:right w:val="single" w:sz="1" w:space="0" w:color="AED6F1"/>
            </w:tcBorders>
            <w:shd w:val="clear" w:color="auto" w:fill="F2F3F4"/>
            <w:tcMar>
              <w:top w:w="100" w:type="dxa"/>
              <w:left w:w="140" w:type="dxa"/>
              <w:bottom w:w="100" w:type="dxa"/>
              <w:right w:w="140" w:type="dxa"/>
            </w:tcMar>
          </w:tcPr>
          <w:p w:rsidR="00BF217C" w:rsidRDefault="00BF217C" w:rsidP="00AC5C24">
            <w:proofErr w:type="spellStart"/>
            <w:r>
              <w:rPr>
                <w:b/>
                <w:bCs/>
                <w:sz w:val="20"/>
                <w:szCs w:val="20"/>
              </w:rPr>
              <w:t>ClockRecord</w:t>
            </w:r>
            <w:proofErr w:type="spellEnd"/>
          </w:p>
        </w:tc>
        <w:tc>
          <w:tcPr>
            <w:tcW w:w="1760" w:type="dxa"/>
            <w:tcBorders>
              <w:top w:val="single" w:sz="1" w:space="0" w:color="AED6F1"/>
              <w:left w:val="single" w:sz="1" w:space="0" w:color="AED6F1"/>
              <w:bottom w:val="single" w:sz="1" w:space="0" w:color="AED6F1"/>
              <w:right w:val="single" w:sz="1" w:space="0" w:color="AED6F1"/>
            </w:tcBorders>
            <w:shd w:val="clear" w:color="auto" w:fill="F2F3F4"/>
            <w:tcMar>
              <w:top w:w="100" w:type="dxa"/>
              <w:left w:w="140" w:type="dxa"/>
              <w:bottom w:w="100" w:type="dxa"/>
              <w:right w:w="140" w:type="dxa"/>
            </w:tcMar>
          </w:tcPr>
          <w:p w:rsidR="00BF217C" w:rsidRDefault="00BF217C" w:rsidP="00AC5C24">
            <w:r>
              <w:rPr>
                <w:sz w:val="20"/>
                <w:szCs w:val="20"/>
              </w:rPr>
              <w:t>Association (1 → *)</w:t>
            </w:r>
          </w:p>
        </w:tc>
        <w:tc>
          <w:tcPr>
            <w:tcW w:w="4000" w:type="dxa"/>
            <w:tcBorders>
              <w:top w:val="single" w:sz="1" w:space="0" w:color="AED6F1"/>
              <w:left w:val="single" w:sz="1" w:space="0" w:color="AED6F1"/>
              <w:bottom w:val="single" w:sz="1" w:space="0" w:color="AED6F1"/>
              <w:right w:val="single" w:sz="1" w:space="0" w:color="AED6F1"/>
            </w:tcBorders>
            <w:shd w:val="clear" w:color="auto" w:fill="F2F3F4"/>
            <w:tcMar>
              <w:top w:w="100" w:type="dxa"/>
              <w:left w:w="140" w:type="dxa"/>
              <w:bottom w:w="100" w:type="dxa"/>
              <w:right w:w="140" w:type="dxa"/>
            </w:tcMar>
          </w:tcPr>
          <w:p w:rsidR="00BF217C" w:rsidRDefault="00BF217C" w:rsidP="00AC5C24">
            <w:r>
              <w:rPr>
                <w:sz w:val="20"/>
                <w:szCs w:val="20"/>
              </w:rPr>
              <w:t xml:space="preserve">Each clock-in or clock-out event creates an immutable </w:t>
            </w:r>
            <w:proofErr w:type="spellStart"/>
            <w:r>
              <w:rPr>
                <w:sz w:val="20"/>
                <w:szCs w:val="20"/>
              </w:rPr>
              <w:t>ClockRecord</w:t>
            </w:r>
            <w:proofErr w:type="spellEnd"/>
            <w:r>
              <w:rPr>
                <w:sz w:val="20"/>
                <w:szCs w:val="20"/>
              </w:rPr>
              <w:t>. The pair (</w:t>
            </w:r>
            <w:proofErr w:type="spellStart"/>
            <w:r>
              <w:rPr>
                <w:sz w:val="20"/>
                <w:szCs w:val="20"/>
              </w:rPr>
              <w:t>clock_in_time</w:t>
            </w:r>
            <w:proofErr w:type="spellEnd"/>
            <w:r>
              <w:rPr>
                <w:sz w:val="20"/>
                <w:szCs w:val="20"/>
              </w:rPr>
              <w:t xml:space="preserve">, </w:t>
            </w:r>
            <w:proofErr w:type="spellStart"/>
            <w:r>
              <w:rPr>
                <w:sz w:val="20"/>
                <w:szCs w:val="20"/>
              </w:rPr>
              <w:t>clock_out_time</w:t>
            </w:r>
            <w:proofErr w:type="spellEnd"/>
            <w:r>
              <w:rPr>
                <w:sz w:val="20"/>
                <w:szCs w:val="20"/>
              </w:rPr>
              <w:t>) is matched to a Shift record to compute attendance status and worked hours.</w:t>
            </w:r>
          </w:p>
        </w:tc>
      </w:tr>
      <w:tr w:rsidR="00BF217C" w:rsidTr="00AC5C24">
        <w:tblPrEx>
          <w:tblCellMar>
            <w:top w:w="0" w:type="dxa"/>
            <w:bottom w:w="0" w:type="dxa"/>
          </w:tblCellMar>
        </w:tblPrEx>
        <w:tc>
          <w:tcPr>
            <w:tcW w:w="18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rsidR="00BF217C" w:rsidRDefault="00BF217C" w:rsidP="00AC5C24">
            <w:r>
              <w:rPr>
                <w:b/>
                <w:bCs/>
                <w:sz w:val="20"/>
                <w:szCs w:val="20"/>
              </w:rPr>
              <w:t>Ingredient</w:t>
            </w:r>
          </w:p>
        </w:tc>
        <w:tc>
          <w:tcPr>
            <w:tcW w:w="18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rsidR="00BF217C" w:rsidRDefault="00BF217C" w:rsidP="00AC5C24">
            <w:proofErr w:type="spellStart"/>
            <w:r>
              <w:rPr>
                <w:b/>
                <w:bCs/>
                <w:sz w:val="20"/>
                <w:szCs w:val="20"/>
              </w:rPr>
              <w:t>InventoryStock</w:t>
            </w:r>
            <w:proofErr w:type="spellEnd"/>
          </w:p>
        </w:tc>
        <w:tc>
          <w:tcPr>
            <w:tcW w:w="176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rsidR="00BF217C" w:rsidRDefault="00BF217C" w:rsidP="00AC5C24">
            <w:r>
              <w:rPr>
                <w:sz w:val="20"/>
                <w:szCs w:val="20"/>
              </w:rPr>
              <w:t>Association (1 → 1) per Location</w:t>
            </w:r>
          </w:p>
        </w:tc>
        <w:tc>
          <w:tcPr>
            <w:tcW w:w="40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rsidR="00BF217C" w:rsidRDefault="00BF217C" w:rsidP="00AC5C24">
            <w:r>
              <w:rPr>
                <w:sz w:val="20"/>
                <w:szCs w:val="20"/>
              </w:rPr>
              <w:t xml:space="preserve">One </w:t>
            </w:r>
            <w:proofErr w:type="spellStart"/>
            <w:r>
              <w:rPr>
                <w:sz w:val="20"/>
                <w:szCs w:val="20"/>
              </w:rPr>
              <w:t>InventoryStock</w:t>
            </w:r>
            <w:proofErr w:type="spellEnd"/>
            <w:r>
              <w:rPr>
                <w:sz w:val="20"/>
                <w:szCs w:val="20"/>
              </w:rPr>
              <w:t xml:space="preserve"> record exists per Ingredient per Location. Multi-location stock is aggregated at query time; reorder thresholds are set independently per location.</w:t>
            </w:r>
          </w:p>
        </w:tc>
      </w:tr>
      <w:tr w:rsidR="00BF217C" w:rsidTr="00AC5C24">
        <w:tblPrEx>
          <w:tblCellMar>
            <w:top w:w="0" w:type="dxa"/>
            <w:bottom w:w="0" w:type="dxa"/>
          </w:tblCellMar>
        </w:tblPrEx>
        <w:tc>
          <w:tcPr>
            <w:tcW w:w="1800" w:type="dxa"/>
            <w:tcBorders>
              <w:top w:val="single" w:sz="1" w:space="0" w:color="AED6F1"/>
              <w:left w:val="single" w:sz="1" w:space="0" w:color="AED6F1"/>
              <w:bottom w:val="single" w:sz="1" w:space="0" w:color="AED6F1"/>
              <w:right w:val="single" w:sz="1" w:space="0" w:color="AED6F1"/>
            </w:tcBorders>
            <w:shd w:val="clear" w:color="auto" w:fill="F2F3F4"/>
            <w:tcMar>
              <w:top w:w="100" w:type="dxa"/>
              <w:left w:w="140" w:type="dxa"/>
              <w:bottom w:w="100" w:type="dxa"/>
              <w:right w:w="140" w:type="dxa"/>
            </w:tcMar>
          </w:tcPr>
          <w:p w:rsidR="00BF217C" w:rsidRDefault="00BF217C" w:rsidP="00AC5C24">
            <w:proofErr w:type="spellStart"/>
            <w:r>
              <w:rPr>
                <w:b/>
                <w:bCs/>
                <w:sz w:val="20"/>
                <w:szCs w:val="20"/>
              </w:rPr>
              <w:t>InventoryStock</w:t>
            </w:r>
            <w:proofErr w:type="spellEnd"/>
          </w:p>
        </w:tc>
        <w:tc>
          <w:tcPr>
            <w:tcW w:w="1800" w:type="dxa"/>
            <w:tcBorders>
              <w:top w:val="single" w:sz="1" w:space="0" w:color="AED6F1"/>
              <w:left w:val="single" w:sz="1" w:space="0" w:color="AED6F1"/>
              <w:bottom w:val="single" w:sz="1" w:space="0" w:color="AED6F1"/>
              <w:right w:val="single" w:sz="1" w:space="0" w:color="AED6F1"/>
            </w:tcBorders>
            <w:shd w:val="clear" w:color="auto" w:fill="F2F3F4"/>
            <w:tcMar>
              <w:top w:w="100" w:type="dxa"/>
              <w:left w:w="140" w:type="dxa"/>
              <w:bottom w:w="100" w:type="dxa"/>
              <w:right w:w="140" w:type="dxa"/>
            </w:tcMar>
          </w:tcPr>
          <w:p w:rsidR="00BF217C" w:rsidRDefault="00BF217C" w:rsidP="00AC5C24">
            <w:proofErr w:type="spellStart"/>
            <w:r>
              <w:rPr>
                <w:b/>
                <w:bCs/>
                <w:sz w:val="20"/>
                <w:szCs w:val="20"/>
              </w:rPr>
              <w:t>StockMovement</w:t>
            </w:r>
            <w:proofErr w:type="spellEnd"/>
          </w:p>
        </w:tc>
        <w:tc>
          <w:tcPr>
            <w:tcW w:w="1760" w:type="dxa"/>
            <w:tcBorders>
              <w:top w:val="single" w:sz="1" w:space="0" w:color="AED6F1"/>
              <w:left w:val="single" w:sz="1" w:space="0" w:color="AED6F1"/>
              <w:bottom w:val="single" w:sz="1" w:space="0" w:color="AED6F1"/>
              <w:right w:val="single" w:sz="1" w:space="0" w:color="AED6F1"/>
            </w:tcBorders>
            <w:shd w:val="clear" w:color="auto" w:fill="F2F3F4"/>
            <w:tcMar>
              <w:top w:w="100" w:type="dxa"/>
              <w:left w:w="140" w:type="dxa"/>
              <w:bottom w:w="100" w:type="dxa"/>
              <w:right w:w="140" w:type="dxa"/>
            </w:tcMar>
          </w:tcPr>
          <w:p w:rsidR="00BF217C" w:rsidRDefault="00BF217C" w:rsidP="00AC5C24">
            <w:r>
              <w:rPr>
                <w:sz w:val="20"/>
                <w:szCs w:val="20"/>
              </w:rPr>
              <w:t>Composition (1 → *)</w:t>
            </w:r>
          </w:p>
        </w:tc>
        <w:tc>
          <w:tcPr>
            <w:tcW w:w="4000" w:type="dxa"/>
            <w:tcBorders>
              <w:top w:val="single" w:sz="1" w:space="0" w:color="AED6F1"/>
              <w:left w:val="single" w:sz="1" w:space="0" w:color="AED6F1"/>
              <w:bottom w:val="single" w:sz="1" w:space="0" w:color="AED6F1"/>
              <w:right w:val="single" w:sz="1" w:space="0" w:color="AED6F1"/>
            </w:tcBorders>
            <w:shd w:val="clear" w:color="auto" w:fill="F2F3F4"/>
            <w:tcMar>
              <w:top w:w="100" w:type="dxa"/>
              <w:left w:w="140" w:type="dxa"/>
              <w:bottom w:w="100" w:type="dxa"/>
              <w:right w:w="140" w:type="dxa"/>
            </w:tcMar>
          </w:tcPr>
          <w:p w:rsidR="00BF217C" w:rsidRDefault="00BF217C" w:rsidP="00AC5C24">
            <w:proofErr w:type="spellStart"/>
            <w:r>
              <w:rPr>
                <w:sz w:val="20"/>
                <w:szCs w:val="20"/>
              </w:rPr>
              <w:t>StockMovements</w:t>
            </w:r>
            <w:proofErr w:type="spellEnd"/>
            <w:r>
              <w:rPr>
                <w:sz w:val="20"/>
                <w:szCs w:val="20"/>
              </w:rPr>
              <w:t xml:space="preserve"> are append-only children of </w:t>
            </w:r>
            <w:proofErr w:type="spellStart"/>
            <w:r>
              <w:rPr>
                <w:sz w:val="20"/>
                <w:szCs w:val="20"/>
              </w:rPr>
              <w:t>InventoryStock</w:t>
            </w:r>
            <w:proofErr w:type="spellEnd"/>
            <w:r>
              <w:rPr>
                <w:sz w:val="20"/>
                <w:szCs w:val="20"/>
              </w:rPr>
              <w:t xml:space="preserve">. The running quantity on </w:t>
            </w:r>
            <w:proofErr w:type="spellStart"/>
            <w:r>
              <w:rPr>
                <w:sz w:val="20"/>
                <w:szCs w:val="20"/>
              </w:rPr>
              <w:t>InventoryStock</w:t>
            </w:r>
            <w:proofErr w:type="spellEnd"/>
            <w:r>
              <w:rPr>
                <w:sz w:val="20"/>
                <w:szCs w:val="20"/>
              </w:rPr>
              <w:t xml:space="preserve"> is updated atomically with each movement write inside a database transaction.</w:t>
            </w:r>
          </w:p>
        </w:tc>
      </w:tr>
      <w:tr w:rsidR="00BF217C" w:rsidTr="00AC5C24">
        <w:tblPrEx>
          <w:tblCellMar>
            <w:top w:w="0" w:type="dxa"/>
            <w:bottom w:w="0" w:type="dxa"/>
          </w:tblCellMar>
        </w:tblPrEx>
        <w:tc>
          <w:tcPr>
            <w:tcW w:w="18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rsidR="00BF217C" w:rsidRDefault="00BF217C" w:rsidP="00AC5C24">
            <w:r>
              <w:rPr>
                <w:b/>
                <w:bCs/>
                <w:sz w:val="20"/>
                <w:szCs w:val="20"/>
              </w:rPr>
              <w:t>Customer</w:t>
            </w:r>
          </w:p>
        </w:tc>
        <w:tc>
          <w:tcPr>
            <w:tcW w:w="18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rsidR="00BF217C" w:rsidRDefault="00BF217C" w:rsidP="00AC5C24">
            <w:proofErr w:type="spellStart"/>
            <w:r>
              <w:rPr>
                <w:b/>
                <w:bCs/>
                <w:sz w:val="20"/>
                <w:szCs w:val="20"/>
              </w:rPr>
              <w:t>LoyaltyAccount</w:t>
            </w:r>
            <w:proofErr w:type="spellEnd"/>
          </w:p>
        </w:tc>
        <w:tc>
          <w:tcPr>
            <w:tcW w:w="176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rsidR="00BF217C" w:rsidRDefault="00BF217C" w:rsidP="00AC5C24">
            <w:r>
              <w:rPr>
                <w:sz w:val="20"/>
                <w:szCs w:val="20"/>
              </w:rPr>
              <w:t>Composition (1 → 1)</w:t>
            </w:r>
          </w:p>
        </w:tc>
        <w:tc>
          <w:tcPr>
            <w:tcW w:w="40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rsidR="00BF217C" w:rsidRDefault="00BF217C" w:rsidP="00AC5C24">
            <w:r>
              <w:rPr>
                <w:sz w:val="20"/>
                <w:szCs w:val="20"/>
              </w:rPr>
              <w:t xml:space="preserve">Created automatically when a Customer registers. </w:t>
            </w:r>
            <w:proofErr w:type="spellStart"/>
            <w:r>
              <w:rPr>
                <w:sz w:val="20"/>
                <w:szCs w:val="20"/>
              </w:rPr>
              <w:t>LoyaltyAccount</w:t>
            </w:r>
            <w:proofErr w:type="spellEnd"/>
            <w:r>
              <w:rPr>
                <w:sz w:val="20"/>
                <w:szCs w:val="20"/>
              </w:rPr>
              <w:t xml:space="preserve"> lifecycle is tied to Customer; deactivating a customer suspends (but does not delete) the loyalty account.</w:t>
            </w:r>
          </w:p>
        </w:tc>
      </w:tr>
      <w:tr w:rsidR="00BF217C" w:rsidTr="00AC5C24">
        <w:tblPrEx>
          <w:tblCellMar>
            <w:top w:w="0" w:type="dxa"/>
            <w:bottom w:w="0" w:type="dxa"/>
          </w:tblCellMar>
        </w:tblPrEx>
        <w:tc>
          <w:tcPr>
            <w:tcW w:w="1800" w:type="dxa"/>
            <w:tcBorders>
              <w:top w:val="single" w:sz="1" w:space="0" w:color="AED6F1"/>
              <w:left w:val="single" w:sz="1" w:space="0" w:color="AED6F1"/>
              <w:bottom w:val="single" w:sz="1" w:space="0" w:color="AED6F1"/>
              <w:right w:val="single" w:sz="1" w:space="0" w:color="AED6F1"/>
            </w:tcBorders>
            <w:shd w:val="clear" w:color="auto" w:fill="F2F3F4"/>
            <w:tcMar>
              <w:top w:w="100" w:type="dxa"/>
              <w:left w:w="140" w:type="dxa"/>
              <w:bottom w:w="100" w:type="dxa"/>
              <w:right w:w="140" w:type="dxa"/>
            </w:tcMar>
          </w:tcPr>
          <w:p w:rsidR="00BF217C" w:rsidRDefault="00BF217C" w:rsidP="00AC5C24">
            <w:proofErr w:type="spellStart"/>
            <w:r>
              <w:rPr>
                <w:b/>
                <w:bCs/>
                <w:sz w:val="20"/>
                <w:szCs w:val="20"/>
              </w:rPr>
              <w:t>MenuItem</w:t>
            </w:r>
            <w:proofErr w:type="spellEnd"/>
          </w:p>
        </w:tc>
        <w:tc>
          <w:tcPr>
            <w:tcW w:w="1800" w:type="dxa"/>
            <w:tcBorders>
              <w:top w:val="single" w:sz="1" w:space="0" w:color="AED6F1"/>
              <w:left w:val="single" w:sz="1" w:space="0" w:color="AED6F1"/>
              <w:bottom w:val="single" w:sz="1" w:space="0" w:color="AED6F1"/>
              <w:right w:val="single" w:sz="1" w:space="0" w:color="AED6F1"/>
            </w:tcBorders>
            <w:shd w:val="clear" w:color="auto" w:fill="F2F3F4"/>
            <w:tcMar>
              <w:top w:w="100" w:type="dxa"/>
              <w:left w:w="140" w:type="dxa"/>
              <w:bottom w:w="100" w:type="dxa"/>
              <w:right w:w="140" w:type="dxa"/>
            </w:tcMar>
          </w:tcPr>
          <w:p w:rsidR="00BF217C" w:rsidRDefault="00BF217C" w:rsidP="00AC5C24">
            <w:r>
              <w:rPr>
                <w:b/>
                <w:bCs/>
                <w:sz w:val="20"/>
                <w:szCs w:val="20"/>
              </w:rPr>
              <w:t>Allergen</w:t>
            </w:r>
          </w:p>
        </w:tc>
        <w:tc>
          <w:tcPr>
            <w:tcW w:w="1760" w:type="dxa"/>
            <w:tcBorders>
              <w:top w:val="single" w:sz="1" w:space="0" w:color="AED6F1"/>
              <w:left w:val="single" w:sz="1" w:space="0" w:color="AED6F1"/>
              <w:bottom w:val="single" w:sz="1" w:space="0" w:color="AED6F1"/>
              <w:right w:val="single" w:sz="1" w:space="0" w:color="AED6F1"/>
            </w:tcBorders>
            <w:shd w:val="clear" w:color="auto" w:fill="F2F3F4"/>
            <w:tcMar>
              <w:top w:w="100" w:type="dxa"/>
              <w:left w:w="140" w:type="dxa"/>
              <w:bottom w:w="100" w:type="dxa"/>
              <w:right w:w="140" w:type="dxa"/>
            </w:tcMar>
          </w:tcPr>
          <w:p w:rsidR="00BF217C" w:rsidRDefault="00BF217C" w:rsidP="00AC5C24">
            <w:r>
              <w:rPr>
                <w:sz w:val="20"/>
                <w:szCs w:val="20"/>
              </w:rPr>
              <w:t xml:space="preserve">Association (* ↔ *) via </w:t>
            </w:r>
            <w:proofErr w:type="spellStart"/>
            <w:r>
              <w:rPr>
                <w:sz w:val="20"/>
                <w:szCs w:val="20"/>
              </w:rPr>
              <w:t>MenuItemAllergen</w:t>
            </w:r>
            <w:proofErr w:type="spellEnd"/>
          </w:p>
        </w:tc>
        <w:tc>
          <w:tcPr>
            <w:tcW w:w="4000" w:type="dxa"/>
            <w:tcBorders>
              <w:top w:val="single" w:sz="1" w:space="0" w:color="AED6F1"/>
              <w:left w:val="single" w:sz="1" w:space="0" w:color="AED6F1"/>
              <w:bottom w:val="single" w:sz="1" w:space="0" w:color="AED6F1"/>
              <w:right w:val="single" w:sz="1" w:space="0" w:color="AED6F1"/>
            </w:tcBorders>
            <w:shd w:val="clear" w:color="auto" w:fill="F2F3F4"/>
            <w:tcMar>
              <w:top w:w="100" w:type="dxa"/>
              <w:left w:w="140" w:type="dxa"/>
              <w:bottom w:w="100" w:type="dxa"/>
              <w:right w:w="140" w:type="dxa"/>
            </w:tcMar>
          </w:tcPr>
          <w:p w:rsidR="00BF217C" w:rsidRDefault="00BF217C" w:rsidP="00AC5C24">
            <w:r>
              <w:rPr>
                <w:sz w:val="20"/>
                <w:szCs w:val="20"/>
              </w:rPr>
              <w:t>Allergen associations are maintained by the Menu Manager and validated by the Nutritionist role. Changes to allergen content trigger a mandatory customer notification if the item appears in active meal plans.</w:t>
            </w:r>
          </w:p>
        </w:tc>
      </w:tr>
      <w:tr w:rsidR="00BF217C" w:rsidTr="00AC5C24">
        <w:tblPrEx>
          <w:tblCellMar>
            <w:top w:w="0" w:type="dxa"/>
            <w:bottom w:w="0" w:type="dxa"/>
          </w:tblCellMar>
        </w:tblPrEx>
        <w:tc>
          <w:tcPr>
            <w:tcW w:w="18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rsidR="00BF217C" w:rsidRDefault="00BF217C" w:rsidP="00AC5C24">
            <w:proofErr w:type="spellStart"/>
            <w:r>
              <w:rPr>
                <w:b/>
                <w:bCs/>
                <w:sz w:val="20"/>
                <w:szCs w:val="20"/>
              </w:rPr>
              <w:t>PurchaseOrder</w:t>
            </w:r>
            <w:proofErr w:type="spellEnd"/>
          </w:p>
        </w:tc>
        <w:tc>
          <w:tcPr>
            <w:tcW w:w="18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rsidR="00BF217C" w:rsidRDefault="00BF217C" w:rsidP="00AC5C24">
            <w:r>
              <w:rPr>
                <w:b/>
                <w:bCs/>
                <w:sz w:val="20"/>
                <w:szCs w:val="20"/>
              </w:rPr>
              <w:t>Supplier</w:t>
            </w:r>
          </w:p>
        </w:tc>
        <w:tc>
          <w:tcPr>
            <w:tcW w:w="176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rsidR="00BF217C" w:rsidRDefault="00BF217C" w:rsidP="00AC5C24">
            <w:r>
              <w:rPr>
                <w:sz w:val="20"/>
                <w:szCs w:val="20"/>
              </w:rPr>
              <w:t>Association (* → 1)</w:t>
            </w:r>
          </w:p>
        </w:tc>
        <w:tc>
          <w:tcPr>
            <w:tcW w:w="40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rsidR="00BF217C" w:rsidRDefault="00BF217C" w:rsidP="00AC5C24">
            <w:r>
              <w:rPr>
                <w:sz w:val="20"/>
                <w:szCs w:val="20"/>
              </w:rPr>
              <w:t xml:space="preserve">A </w:t>
            </w:r>
            <w:proofErr w:type="spellStart"/>
            <w:r>
              <w:rPr>
                <w:sz w:val="20"/>
                <w:szCs w:val="20"/>
              </w:rPr>
              <w:t>PurchaseOrder</w:t>
            </w:r>
            <w:proofErr w:type="spellEnd"/>
            <w:r>
              <w:rPr>
                <w:sz w:val="20"/>
                <w:szCs w:val="20"/>
              </w:rPr>
              <w:t xml:space="preserve"> is issued to a single primary Supplier. Alternative supplier mapping for the same ingredient is maintained in the </w:t>
            </w:r>
            <w:proofErr w:type="spellStart"/>
            <w:r>
              <w:rPr>
                <w:sz w:val="20"/>
                <w:szCs w:val="20"/>
              </w:rPr>
              <w:t>SupplierIngredient</w:t>
            </w:r>
            <w:proofErr w:type="spellEnd"/>
            <w:r>
              <w:rPr>
                <w:sz w:val="20"/>
                <w:szCs w:val="20"/>
              </w:rPr>
              <w:t xml:space="preserve"> association for use when the primary supplier cannot </w:t>
            </w:r>
            <w:proofErr w:type="spellStart"/>
            <w:r>
              <w:rPr>
                <w:sz w:val="20"/>
                <w:szCs w:val="20"/>
              </w:rPr>
              <w:t>fulfil</w:t>
            </w:r>
            <w:proofErr w:type="spellEnd"/>
            <w:r>
              <w:rPr>
                <w:sz w:val="20"/>
                <w:szCs w:val="20"/>
              </w:rPr>
              <w:t>.</w:t>
            </w:r>
          </w:p>
        </w:tc>
      </w:tr>
    </w:tbl>
    <w:p w:rsidR="00BF217C" w:rsidRDefault="00BF217C" w:rsidP="00BF217C">
      <w:pPr>
        <w:spacing w:before="100" w:after="100"/>
      </w:pPr>
    </w:p>
    <w:p w:rsidR="00BF217C" w:rsidRDefault="00BF217C" w:rsidP="00BF217C">
      <w:pPr>
        <w:pStyle w:val="Heading2"/>
      </w:pPr>
      <w:r>
        <w:t>25.1 Association Design Principles</w:t>
      </w:r>
    </w:p>
    <w:p w:rsidR="00BF217C" w:rsidRDefault="00BF217C" w:rsidP="00BF217C">
      <w:pPr>
        <w:pStyle w:val="ListParagraph"/>
        <w:numPr>
          <w:ilvl w:val="0"/>
          <w:numId w:val="1"/>
        </w:numPr>
        <w:spacing w:before="40" w:after="40"/>
      </w:pPr>
      <w:r>
        <w:t xml:space="preserve">Composition </w:t>
      </w:r>
      <w:proofErr w:type="spellStart"/>
      <w:r>
        <w:t>vs</w:t>
      </w:r>
      <w:proofErr w:type="spellEnd"/>
      <w:r>
        <w:t xml:space="preserve"> Aggregation: Composition is used when the child entity cannot exist without the parent (e.g. </w:t>
      </w:r>
      <w:proofErr w:type="spellStart"/>
      <w:r>
        <w:t>OrderItem</w:t>
      </w:r>
      <w:proofErr w:type="spellEnd"/>
      <w:r>
        <w:t xml:space="preserve"> without Order, </w:t>
      </w:r>
      <w:proofErr w:type="spellStart"/>
      <w:r>
        <w:t>LoyaltyAccount</w:t>
      </w:r>
      <w:proofErr w:type="spellEnd"/>
      <w:r>
        <w:t xml:space="preserve"> without Customer). Aggregation is used for independent but related entities.</w:t>
      </w:r>
    </w:p>
    <w:p w:rsidR="00BF217C" w:rsidRDefault="00BF217C" w:rsidP="00BF217C">
      <w:pPr>
        <w:pStyle w:val="ListParagraph"/>
        <w:numPr>
          <w:ilvl w:val="0"/>
          <w:numId w:val="1"/>
        </w:numPr>
        <w:spacing w:before="40" w:after="40"/>
      </w:pPr>
      <w:r>
        <w:lastRenderedPageBreak/>
        <w:t xml:space="preserve">Bidirectional navigation: Associations are navigable in both directions at the application layer but are </w:t>
      </w:r>
      <w:proofErr w:type="spellStart"/>
      <w:r>
        <w:t>modelled</w:t>
      </w:r>
      <w:proofErr w:type="spellEnd"/>
      <w:r>
        <w:t xml:space="preserve"> with a clear primary direction to avoid circular dependencies in </w:t>
      </w:r>
      <w:proofErr w:type="spellStart"/>
      <w:r>
        <w:t>serialisation</w:t>
      </w:r>
      <w:proofErr w:type="spellEnd"/>
      <w:r>
        <w:t>.</w:t>
      </w:r>
    </w:p>
    <w:p w:rsidR="00BF217C" w:rsidRDefault="00BF217C" w:rsidP="00BF217C">
      <w:pPr>
        <w:pStyle w:val="ListParagraph"/>
        <w:numPr>
          <w:ilvl w:val="0"/>
          <w:numId w:val="1"/>
        </w:numPr>
        <w:spacing w:before="40" w:after="40"/>
      </w:pPr>
      <w:r>
        <w:t xml:space="preserve">Bounded contexts: Cross-context associations (e.g. Order → </w:t>
      </w:r>
      <w:proofErr w:type="spellStart"/>
      <w:r>
        <w:t>KitchenTicket</w:t>
      </w:r>
      <w:proofErr w:type="spellEnd"/>
      <w:r>
        <w:t xml:space="preserve">) use ID references rather than direct object references to enforce loose coupling between </w:t>
      </w:r>
      <w:proofErr w:type="spellStart"/>
      <w:r>
        <w:t>microservices</w:t>
      </w:r>
      <w:proofErr w:type="spellEnd"/>
      <w:r>
        <w:t>.</w:t>
      </w:r>
    </w:p>
    <w:p w:rsidR="00BF217C" w:rsidRDefault="00BF217C" w:rsidP="00BF217C">
      <w:pPr>
        <w:pStyle w:val="ListParagraph"/>
        <w:numPr>
          <w:ilvl w:val="0"/>
          <w:numId w:val="1"/>
        </w:numPr>
        <w:spacing w:before="40" w:after="40"/>
      </w:pPr>
      <w:r>
        <w:t xml:space="preserve">Multiplicity enforcement: One-to-one associations are enforced via unique constraints on foreign keys in the database schema. Minimum cardinality (e.g. at least one </w:t>
      </w:r>
      <w:proofErr w:type="spellStart"/>
      <w:r>
        <w:t>OrderItem</w:t>
      </w:r>
      <w:proofErr w:type="spellEnd"/>
      <w:r>
        <w:t xml:space="preserve"> per Order) is enforced in the domain service layer, not the database.</w:t>
      </w:r>
    </w:p>
    <w:p w:rsidR="00BF217C" w:rsidRDefault="00BF217C" w:rsidP="00BF217C">
      <w:pPr>
        <w:spacing w:before="100" w:after="100"/>
      </w:pPr>
    </w:p>
    <w:p w:rsidR="00BF217C" w:rsidRDefault="00BF217C" w:rsidP="00BF217C">
      <w:pPr>
        <w:spacing w:before="80" w:after="80"/>
      </w:pPr>
      <w:r>
        <w:t>This document, together with Sections 17–24, forms the complete data architecture reference for the Cafeteria Management System. All schema migrations, class implementations, and API contracts should be derived from and traceable to this documentation.</w:t>
      </w:r>
    </w:p>
    <w:p w:rsidR="00BF217C" w:rsidRDefault="00BF217C" w:rsidP="00BF217C">
      <w:pPr>
        <w:spacing w:before="100" w:after="100"/>
      </w:pPr>
    </w:p>
    <w:p w:rsidR="00E7493B" w:rsidRDefault="00E7493B">
      <w:bookmarkStart w:id="0" w:name="_GoBack"/>
      <w:bookmarkEnd w:id="0"/>
    </w:p>
    <w:sectPr w:rsidR="00E7493B">
      <w:pgSz w:w="12240" w:h="15840"/>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1AC0C73"/>
    <w:multiLevelType w:val="hybridMultilevel"/>
    <w:tmpl w:val="AC9EA5E4"/>
    <w:lvl w:ilvl="0" w:tplc="86C6EC90">
      <w:start w:val="1"/>
      <w:numFmt w:val="bullet"/>
      <w:lvlText w:val="•"/>
      <w:lvlJc w:val="left"/>
      <w:pPr>
        <w:ind w:left="720" w:hanging="360"/>
      </w:pPr>
    </w:lvl>
    <w:lvl w:ilvl="1" w:tplc="FB52FF02">
      <w:numFmt w:val="decimal"/>
      <w:lvlText w:val=""/>
      <w:lvlJc w:val="left"/>
    </w:lvl>
    <w:lvl w:ilvl="2" w:tplc="909630E4">
      <w:numFmt w:val="decimal"/>
      <w:lvlText w:val=""/>
      <w:lvlJc w:val="left"/>
    </w:lvl>
    <w:lvl w:ilvl="3" w:tplc="0E5AF8F8">
      <w:numFmt w:val="decimal"/>
      <w:lvlText w:val=""/>
      <w:lvlJc w:val="left"/>
    </w:lvl>
    <w:lvl w:ilvl="4" w:tplc="08585846">
      <w:numFmt w:val="decimal"/>
      <w:lvlText w:val=""/>
      <w:lvlJc w:val="left"/>
    </w:lvl>
    <w:lvl w:ilvl="5" w:tplc="F200B024">
      <w:numFmt w:val="decimal"/>
      <w:lvlText w:val=""/>
      <w:lvlJc w:val="left"/>
    </w:lvl>
    <w:lvl w:ilvl="6" w:tplc="FFC4B058">
      <w:numFmt w:val="decimal"/>
      <w:lvlText w:val=""/>
      <w:lvlJc w:val="left"/>
    </w:lvl>
    <w:lvl w:ilvl="7" w:tplc="AD16D6C6">
      <w:numFmt w:val="decimal"/>
      <w:lvlText w:val=""/>
      <w:lvlJc w:val="left"/>
    </w:lvl>
    <w:lvl w:ilvl="8" w:tplc="220A62B0">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44149"/>
    <w:rsid w:val="00BF217C"/>
    <w:rsid w:val="00E7493B"/>
    <w:rsid w:val="00F441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F217C"/>
    <w:pPr>
      <w:spacing w:after="0" w:line="240" w:lineRule="auto"/>
    </w:pPr>
    <w:rPr>
      <w:rFonts w:ascii="Arial" w:eastAsia="Arial" w:hAnsi="Arial" w:cs="Arial"/>
      <w:color w:val="1C2833"/>
    </w:rPr>
  </w:style>
  <w:style w:type="paragraph" w:styleId="Heading2">
    <w:name w:val="heading 2"/>
    <w:link w:val="Heading2Char"/>
    <w:qFormat/>
    <w:rsid w:val="00BF217C"/>
    <w:pPr>
      <w:spacing w:before="280" w:after="80" w:line="240" w:lineRule="auto"/>
      <w:outlineLvl w:val="1"/>
    </w:pPr>
    <w:rPr>
      <w:rFonts w:ascii="Arial" w:eastAsia="Arial" w:hAnsi="Arial" w:cs="Arial"/>
      <w:b/>
      <w:bCs/>
      <w:color w:val="2E86C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BF217C"/>
    <w:rPr>
      <w:rFonts w:ascii="Arial" w:eastAsia="Arial" w:hAnsi="Arial" w:cs="Arial"/>
      <w:b/>
      <w:bCs/>
      <w:color w:val="2E86C1"/>
      <w:sz w:val="26"/>
      <w:szCs w:val="26"/>
    </w:rPr>
  </w:style>
  <w:style w:type="paragraph" w:styleId="ListParagraph">
    <w:name w:val="List Paragraph"/>
    <w:qFormat/>
    <w:rsid w:val="00BF217C"/>
    <w:pPr>
      <w:spacing w:after="0" w:line="240" w:lineRule="auto"/>
    </w:pPr>
    <w:rPr>
      <w:rFonts w:ascii="Arial" w:eastAsia="Arial" w:hAnsi="Arial" w:cs="Arial"/>
      <w:color w:val="1C2833"/>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F217C"/>
    <w:pPr>
      <w:spacing w:after="0" w:line="240" w:lineRule="auto"/>
    </w:pPr>
    <w:rPr>
      <w:rFonts w:ascii="Arial" w:eastAsia="Arial" w:hAnsi="Arial" w:cs="Arial"/>
      <w:color w:val="1C2833"/>
    </w:rPr>
  </w:style>
  <w:style w:type="paragraph" w:styleId="Heading2">
    <w:name w:val="heading 2"/>
    <w:link w:val="Heading2Char"/>
    <w:qFormat/>
    <w:rsid w:val="00BF217C"/>
    <w:pPr>
      <w:spacing w:before="280" w:after="80" w:line="240" w:lineRule="auto"/>
      <w:outlineLvl w:val="1"/>
    </w:pPr>
    <w:rPr>
      <w:rFonts w:ascii="Arial" w:eastAsia="Arial" w:hAnsi="Arial" w:cs="Arial"/>
      <w:b/>
      <w:bCs/>
      <w:color w:val="2E86C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BF217C"/>
    <w:rPr>
      <w:rFonts w:ascii="Arial" w:eastAsia="Arial" w:hAnsi="Arial" w:cs="Arial"/>
      <w:b/>
      <w:bCs/>
      <w:color w:val="2E86C1"/>
      <w:sz w:val="26"/>
      <w:szCs w:val="26"/>
    </w:rPr>
  </w:style>
  <w:style w:type="paragraph" w:styleId="ListParagraph">
    <w:name w:val="List Paragraph"/>
    <w:qFormat/>
    <w:rsid w:val="00BF217C"/>
    <w:pPr>
      <w:spacing w:after="0" w:line="240" w:lineRule="auto"/>
    </w:pPr>
    <w:rPr>
      <w:rFonts w:ascii="Arial" w:eastAsia="Arial" w:hAnsi="Arial" w:cs="Arial"/>
      <w:color w:val="1C283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732</Words>
  <Characters>4174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2026-04-15T00:17:00Z</dcterms:created>
  <dcterms:modified xsi:type="dcterms:W3CDTF">2026-04-15T00:17:00Z</dcterms:modified>
</cp:coreProperties>
</file>