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FDC" w:rsidRDefault="006E6FDC" w:rsidP="006E6FDC">
      <w:pPr>
        <w:pStyle w:val="Heading1"/>
        <w:pBdr>
          <w:bottom w:val="single" w:sz="8" w:space="4" w:color="1ABC9C"/>
        </w:pBdr>
      </w:pPr>
      <w:r>
        <w:t>18. ER Model Notes</w:t>
      </w:r>
    </w:p>
    <w:p w:rsidR="006E6FDC" w:rsidRDefault="006E6FDC" w:rsidP="006E6FDC">
      <w:pPr>
        <w:spacing w:before="80" w:after="80"/>
      </w:pPr>
      <w:r>
        <w:t xml:space="preserve">The Entity-Relationship model for the Cafeteria Management System follows standard Crow's Foot notation and is </w:t>
      </w:r>
      <w:proofErr w:type="spellStart"/>
      <w:r>
        <w:t>organised</w:t>
      </w:r>
      <w:proofErr w:type="spellEnd"/>
      <w:r>
        <w:t xml:space="preserve"> around five core domains.</w:t>
      </w:r>
    </w:p>
    <w:p w:rsidR="006E6FDC" w:rsidRDefault="006E6FDC" w:rsidP="006E6FDC">
      <w:pPr>
        <w:spacing w:before="100" w:after="100"/>
      </w:pPr>
    </w:p>
    <w:p w:rsidR="006E6FDC" w:rsidRDefault="006E6FDC" w:rsidP="006E6FDC">
      <w:pPr>
        <w:pStyle w:val="Heading2"/>
      </w:pPr>
      <w:r>
        <w:t>18.1 Core Domain Clusters</w:t>
      </w:r>
    </w:p>
    <w:p w:rsidR="006E6FDC" w:rsidRDefault="006E6FDC" w:rsidP="006E6FDC">
      <w:pPr>
        <w:pStyle w:val="Heading3"/>
      </w:pPr>
      <w:r>
        <w:t>Customer &amp; Order Domain</w:t>
      </w:r>
    </w:p>
    <w:p w:rsidR="006E6FDC" w:rsidRDefault="006E6FDC" w:rsidP="006E6FDC">
      <w:pPr>
        <w:spacing w:before="80" w:after="80"/>
      </w:pPr>
      <w:r>
        <w:t xml:space="preserve">The Customer entity is the root of the front-of-house domain. Every transaction, reservation, loyalty point, and feedback record traces back to a customer. Orders represent a unit of commercial activity and drive both the kitchen workflow (via </w:t>
      </w:r>
      <w:proofErr w:type="spellStart"/>
      <w:r>
        <w:t>KitchenTicket</w:t>
      </w:r>
      <w:proofErr w:type="spellEnd"/>
      <w:r>
        <w:t>) and the financial record (via Payment).</w:t>
      </w:r>
    </w:p>
    <w:p w:rsidR="006E6FDC" w:rsidRDefault="006E6FDC" w:rsidP="006E6FDC">
      <w:pPr>
        <w:pStyle w:val="ListParagraph"/>
        <w:numPr>
          <w:ilvl w:val="0"/>
          <w:numId w:val="1"/>
        </w:numPr>
        <w:spacing w:before="40" w:after="40"/>
      </w:pPr>
      <w:r>
        <w:t>Customer ↔ Order: the primary revenue-generating relationship.</w:t>
      </w:r>
    </w:p>
    <w:p w:rsidR="006E6FDC" w:rsidRDefault="006E6FDC" w:rsidP="006E6FDC">
      <w:pPr>
        <w:pStyle w:val="ListParagraph"/>
        <w:numPr>
          <w:ilvl w:val="0"/>
          <w:numId w:val="1"/>
        </w:numPr>
        <w:spacing w:before="40" w:after="40"/>
      </w:pPr>
      <w:r>
        <w:t xml:space="preserve">Order ↔ </w:t>
      </w:r>
      <w:proofErr w:type="spellStart"/>
      <w:r>
        <w:t>OrderItem</w:t>
      </w:r>
      <w:proofErr w:type="spellEnd"/>
      <w:r>
        <w:t xml:space="preserve"> ↔ </w:t>
      </w:r>
      <w:proofErr w:type="spellStart"/>
      <w:r>
        <w:t>MenuItem</w:t>
      </w:r>
      <w:proofErr w:type="spellEnd"/>
      <w:r>
        <w:t>: the order decomposition chain.</w:t>
      </w:r>
    </w:p>
    <w:p w:rsidR="006E6FDC" w:rsidRDefault="006E6FDC" w:rsidP="006E6FDC">
      <w:pPr>
        <w:pStyle w:val="ListParagraph"/>
        <w:numPr>
          <w:ilvl w:val="0"/>
          <w:numId w:val="1"/>
        </w:numPr>
        <w:spacing w:before="40" w:after="40"/>
      </w:pPr>
      <w:r>
        <w:t>Order ↔ Payment: supports partial payments and split bills.</w:t>
      </w:r>
    </w:p>
    <w:p w:rsidR="006E6FDC" w:rsidRDefault="006E6FDC" w:rsidP="006E6FDC">
      <w:pPr>
        <w:spacing w:before="100" w:after="100"/>
      </w:pPr>
    </w:p>
    <w:p w:rsidR="006E6FDC" w:rsidRDefault="006E6FDC" w:rsidP="006E6FDC">
      <w:pPr>
        <w:pStyle w:val="Heading3"/>
      </w:pPr>
      <w:r>
        <w:t>Menu &amp; Recipe Domain</w:t>
      </w:r>
    </w:p>
    <w:p w:rsidR="006E6FDC" w:rsidRDefault="006E6FDC" w:rsidP="006E6FDC">
      <w:pPr>
        <w:spacing w:before="80" w:after="80"/>
      </w:pPr>
      <w:proofErr w:type="spellStart"/>
      <w:r>
        <w:t>MenuItem</w:t>
      </w:r>
      <w:proofErr w:type="spellEnd"/>
      <w:r>
        <w:t xml:space="preserve"> is the product catalogue entry visible to customers and staff. Recipe is the internal production specification, which links to Ingredients. This separation allows the same ingredient to appear in multiple recipes and the same menu item to have its recipe versioned over time.</w:t>
      </w:r>
    </w:p>
    <w:p w:rsidR="006E6FDC" w:rsidRDefault="006E6FDC" w:rsidP="006E6FDC">
      <w:pPr>
        <w:pStyle w:val="ListParagraph"/>
        <w:numPr>
          <w:ilvl w:val="0"/>
          <w:numId w:val="1"/>
        </w:numPr>
        <w:spacing w:before="40" w:after="40"/>
      </w:pPr>
      <w:proofErr w:type="spellStart"/>
      <w:r>
        <w:t>MenuItem</w:t>
      </w:r>
      <w:proofErr w:type="spellEnd"/>
      <w:r>
        <w:t xml:space="preserve"> → Recipe → </w:t>
      </w:r>
      <w:proofErr w:type="spellStart"/>
      <w:r>
        <w:t>RecipeIngredient</w:t>
      </w:r>
      <w:proofErr w:type="spellEnd"/>
      <w:r>
        <w:t xml:space="preserve"> → Ingredient: full bill-of-materials chain.</w:t>
      </w:r>
    </w:p>
    <w:p w:rsidR="006E6FDC" w:rsidRDefault="006E6FDC" w:rsidP="006E6FDC">
      <w:pPr>
        <w:pStyle w:val="ListParagraph"/>
        <w:numPr>
          <w:ilvl w:val="0"/>
          <w:numId w:val="1"/>
        </w:numPr>
        <w:spacing w:before="40" w:after="40"/>
      </w:pPr>
      <w:proofErr w:type="spellStart"/>
      <w:r>
        <w:t>MenuItem</w:t>
      </w:r>
      <w:proofErr w:type="spellEnd"/>
      <w:r>
        <w:t xml:space="preserve"> → </w:t>
      </w:r>
      <w:proofErr w:type="spellStart"/>
      <w:r>
        <w:t>NutritionalInfo</w:t>
      </w:r>
      <w:proofErr w:type="spellEnd"/>
      <w:r>
        <w:t>: one-to-one, updated whenever the recipe changes.</w:t>
      </w:r>
    </w:p>
    <w:p w:rsidR="006E6FDC" w:rsidRDefault="006E6FDC" w:rsidP="006E6FDC">
      <w:pPr>
        <w:pStyle w:val="ListParagraph"/>
        <w:numPr>
          <w:ilvl w:val="0"/>
          <w:numId w:val="1"/>
        </w:numPr>
        <w:spacing w:before="40" w:after="40"/>
      </w:pPr>
      <w:proofErr w:type="spellStart"/>
      <w:r>
        <w:t>MenuItem</w:t>
      </w:r>
      <w:proofErr w:type="spellEnd"/>
      <w:r>
        <w:t xml:space="preserve"> ↔ Allergen: maintained as a separate cross-reference to enable label printing and allergy filtering.</w:t>
      </w:r>
    </w:p>
    <w:p w:rsidR="006E6FDC" w:rsidRDefault="006E6FDC" w:rsidP="006E6FDC">
      <w:pPr>
        <w:spacing w:before="100" w:after="100"/>
      </w:pPr>
    </w:p>
    <w:p w:rsidR="006E6FDC" w:rsidRDefault="006E6FDC" w:rsidP="006E6FDC">
      <w:pPr>
        <w:pStyle w:val="Heading3"/>
      </w:pPr>
      <w:r>
        <w:t>Inventory &amp; Procurement Domain</w:t>
      </w:r>
    </w:p>
    <w:p w:rsidR="006E6FDC" w:rsidRDefault="006E6FDC" w:rsidP="006E6FDC">
      <w:pPr>
        <w:spacing w:before="80" w:after="80"/>
      </w:pPr>
      <w:r>
        <w:t xml:space="preserve">Inventory is </w:t>
      </w:r>
      <w:proofErr w:type="spellStart"/>
      <w:r>
        <w:t>modelled</w:t>
      </w:r>
      <w:proofErr w:type="spellEnd"/>
      <w:r>
        <w:t xml:space="preserve"> with a stock-ledger approach: each Ingredient has one current </w:t>
      </w:r>
      <w:proofErr w:type="spellStart"/>
      <w:r>
        <w:t>InventoryStock</w:t>
      </w:r>
      <w:proofErr w:type="spellEnd"/>
      <w:r>
        <w:t xml:space="preserve"> record, and every change (receipt, consumption, waste) is written as a </w:t>
      </w:r>
      <w:proofErr w:type="spellStart"/>
      <w:r>
        <w:t>StockMovement</w:t>
      </w:r>
      <w:proofErr w:type="spellEnd"/>
      <w:r>
        <w:t xml:space="preserve">. </w:t>
      </w:r>
      <w:proofErr w:type="spellStart"/>
      <w:r>
        <w:t>PurchaseOrder</w:t>
      </w:r>
      <w:proofErr w:type="spellEnd"/>
      <w:r>
        <w:t xml:space="preserve"> and </w:t>
      </w:r>
      <w:proofErr w:type="spellStart"/>
      <w:r>
        <w:t>PurchaseOrderLine</w:t>
      </w:r>
      <w:proofErr w:type="spellEnd"/>
      <w:r>
        <w:t xml:space="preserve"> represent the procurement cycle from requisition to receipt.</w:t>
      </w:r>
    </w:p>
    <w:p w:rsidR="006E6FDC" w:rsidRDefault="006E6FDC" w:rsidP="006E6FDC">
      <w:pPr>
        <w:pStyle w:val="ListParagraph"/>
        <w:numPr>
          <w:ilvl w:val="0"/>
          <w:numId w:val="1"/>
        </w:numPr>
        <w:spacing w:before="40" w:after="40"/>
      </w:pPr>
      <w:r>
        <w:t xml:space="preserve">FIFO compliance: </w:t>
      </w:r>
      <w:proofErr w:type="spellStart"/>
      <w:r>
        <w:t>StockMovement</w:t>
      </w:r>
      <w:proofErr w:type="spellEnd"/>
      <w:r>
        <w:t xml:space="preserve"> records carry a </w:t>
      </w:r>
      <w:proofErr w:type="spellStart"/>
      <w:r>
        <w:t>BatchNumber</w:t>
      </w:r>
      <w:proofErr w:type="spellEnd"/>
      <w:r>
        <w:t xml:space="preserve"> and </w:t>
      </w:r>
      <w:proofErr w:type="spellStart"/>
      <w:r>
        <w:t>ExpirationDate</w:t>
      </w:r>
      <w:proofErr w:type="spellEnd"/>
      <w:r>
        <w:t>.</w:t>
      </w:r>
    </w:p>
    <w:p w:rsidR="006E6FDC" w:rsidRDefault="006E6FDC" w:rsidP="006E6FDC">
      <w:pPr>
        <w:pStyle w:val="ListParagraph"/>
        <w:numPr>
          <w:ilvl w:val="0"/>
          <w:numId w:val="1"/>
        </w:numPr>
        <w:spacing w:before="40" w:after="40"/>
      </w:pPr>
      <w:r>
        <w:t xml:space="preserve">Low-stock alert threshold is stored on </w:t>
      </w:r>
      <w:proofErr w:type="spellStart"/>
      <w:r>
        <w:t>InventoryStock</w:t>
      </w:r>
      <w:proofErr w:type="spellEnd"/>
      <w:r>
        <w:t xml:space="preserve"> and evaluated on every consumption write.</w:t>
      </w:r>
    </w:p>
    <w:p w:rsidR="006E6FDC" w:rsidRDefault="006E6FDC" w:rsidP="006E6FDC">
      <w:pPr>
        <w:pStyle w:val="ListParagraph"/>
        <w:numPr>
          <w:ilvl w:val="0"/>
          <w:numId w:val="1"/>
        </w:numPr>
        <w:spacing w:before="40" w:after="40"/>
      </w:pPr>
      <w:r>
        <w:t xml:space="preserve">Supplier performance metrics are computed from </w:t>
      </w:r>
      <w:proofErr w:type="spellStart"/>
      <w:r>
        <w:t>PurchaseOrder</w:t>
      </w:r>
      <w:proofErr w:type="spellEnd"/>
      <w:r>
        <w:t xml:space="preserve"> </w:t>
      </w:r>
      <w:proofErr w:type="spellStart"/>
      <w:r>
        <w:t>fulfilment</w:t>
      </w:r>
      <w:proofErr w:type="spellEnd"/>
      <w:r>
        <w:t xml:space="preserve"> data.</w:t>
      </w:r>
    </w:p>
    <w:p w:rsidR="006E6FDC" w:rsidRDefault="006E6FDC" w:rsidP="006E6FDC">
      <w:pPr>
        <w:spacing w:before="100" w:after="100"/>
      </w:pPr>
    </w:p>
    <w:p w:rsidR="006E6FDC" w:rsidRDefault="006E6FDC" w:rsidP="006E6FDC">
      <w:pPr>
        <w:pStyle w:val="Heading3"/>
      </w:pPr>
      <w:r>
        <w:t>Staff &amp; Scheduling Domain</w:t>
      </w:r>
    </w:p>
    <w:p w:rsidR="006E6FDC" w:rsidRDefault="006E6FDC" w:rsidP="006E6FDC">
      <w:pPr>
        <w:spacing w:before="80" w:after="80"/>
      </w:pPr>
      <w:r>
        <w:t xml:space="preserve">Staff records are linked to HR roles (via Role) and to the shift-scheduling sub-system (Shift, </w:t>
      </w:r>
      <w:proofErr w:type="spellStart"/>
      <w:r>
        <w:t>ShiftType</w:t>
      </w:r>
      <w:proofErr w:type="spellEnd"/>
      <w:r>
        <w:t xml:space="preserve">, </w:t>
      </w:r>
      <w:proofErr w:type="spellStart"/>
      <w:r>
        <w:t>ShiftSwap</w:t>
      </w:r>
      <w:proofErr w:type="spellEnd"/>
      <w:r>
        <w:t xml:space="preserve">). Clock-in/out is captured in </w:t>
      </w:r>
      <w:proofErr w:type="spellStart"/>
      <w:r>
        <w:t>ClockRecord</w:t>
      </w:r>
      <w:proofErr w:type="spellEnd"/>
      <w:r>
        <w:t xml:space="preserve"> and reconciled against the assigned Shift to produce attendance and payroll inputs.</w:t>
      </w:r>
    </w:p>
    <w:p w:rsidR="006E6FDC" w:rsidRDefault="006E6FDC" w:rsidP="006E6FDC">
      <w:pPr>
        <w:pStyle w:val="ListParagraph"/>
        <w:numPr>
          <w:ilvl w:val="0"/>
          <w:numId w:val="1"/>
        </w:numPr>
        <w:spacing w:before="40" w:after="40"/>
      </w:pPr>
      <w:r>
        <w:lastRenderedPageBreak/>
        <w:t xml:space="preserve">A </w:t>
      </w:r>
      <w:proofErr w:type="spellStart"/>
      <w:r>
        <w:t>ShiftSwap</w:t>
      </w:r>
      <w:proofErr w:type="spellEnd"/>
      <w:r>
        <w:t xml:space="preserve"> entity records the request, approval, and effective exchange between two staff members.</w:t>
      </w:r>
    </w:p>
    <w:p w:rsidR="006E6FDC" w:rsidRDefault="006E6FDC" w:rsidP="006E6FDC">
      <w:pPr>
        <w:pStyle w:val="ListParagraph"/>
        <w:numPr>
          <w:ilvl w:val="0"/>
          <w:numId w:val="1"/>
        </w:numPr>
        <w:spacing w:before="40" w:after="40"/>
      </w:pPr>
      <w:r>
        <w:t>Task assignment is a many-to-many relationship allowing ad-hoc task sharing.</w:t>
      </w:r>
    </w:p>
    <w:p w:rsidR="006E6FDC" w:rsidRDefault="006E6FDC" w:rsidP="006E6FDC">
      <w:pPr>
        <w:spacing w:before="100" w:after="100"/>
      </w:pPr>
    </w:p>
    <w:p w:rsidR="006E6FDC" w:rsidRDefault="006E6FDC" w:rsidP="006E6FDC">
      <w:pPr>
        <w:pStyle w:val="Heading3"/>
      </w:pPr>
      <w:r>
        <w:t>Food Safety &amp; Compliance Domain</w:t>
      </w:r>
    </w:p>
    <w:p w:rsidR="006E6FDC" w:rsidRDefault="006E6FDC" w:rsidP="006E6FDC">
      <w:pPr>
        <w:spacing w:before="80" w:after="80"/>
      </w:pPr>
      <w:proofErr w:type="spellStart"/>
      <w:r>
        <w:t>FoodSafetyLog</w:t>
      </w:r>
      <w:proofErr w:type="spellEnd"/>
      <w:r>
        <w:t xml:space="preserve">, </w:t>
      </w:r>
      <w:proofErr w:type="spellStart"/>
      <w:r>
        <w:t>TemperatureLog</w:t>
      </w:r>
      <w:proofErr w:type="spellEnd"/>
      <w:r>
        <w:t xml:space="preserve">, and </w:t>
      </w:r>
      <w:proofErr w:type="spellStart"/>
      <w:r>
        <w:t>ExpirationCheck</w:t>
      </w:r>
      <w:proofErr w:type="spellEnd"/>
      <w:r>
        <w:t xml:space="preserve"> entities provide the audit trail required by FSMA and local health department regulations. Each log entry is immutable and </w:t>
      </w:r>
      <w:proofErr w:type="spellStart"/>
      <w:r>
        <w:t>timestamped</w:t>
      </w:r>
      <w:proofErr w:type="spellEnd"/>
      <w:r>
        <w:t xml:space="preserve">. </w:t>
      </w:r>
      <w:proofErr w:type="spellStart"/>
      <w:r>
        <w:t>StorageZone</w:t>
      </w:r>
      <w:proofErr w:type="spellEnd"/>
      <w:r>
        <w:t xml:space="preserve"> groups the physical areas (walk-in cooler, dry store, freezer) to which temperature sensors are attached.</w:t>
      </w:r>
    </w:p>
    <w:p w:rsidR="006E6FDC" w:rsidRDefault="006E6FDC" w:rsidP="006E6FDC">
      <w:pPr>
        <w:spacing w:before="100" w:after="100"/>
      </w:pPr>
    </w:p>
    <w:p w:rsidR="006E6FDC" w:rsidRDefault="006E6FDC" w:rsidP="006E6FDC">
      <w:pPr>
        <w:pStyle w:val="Heading2"/>
      </w:pPr>
      <w:r>
        <w:t xml:space="preserve">18.2 Key </w:t>
      </w:r>
      <w:proofErr w:type="spellStart"/>
      <w:r>
        <w:t>Modelling</w:t>
      </w:r>
      <w:proofErr w:type="spellEnd"/>
      <w:r>
        <w:t xml:space="preserve"> Decisions</w:t>
      </w:r>
    </w:p>
    <w:p w:rsidR="006E6FDC" w:rsidRDefault="006E6FDC" w:rsidP="006E6FDC">
      <w:pPr>
        <w:pStyle w:val="ListParagraph"/>
        <w:numPr>
          <w:ilvl w:val="0"/>
          <w:numId w:val="1"/>
        </w:numPr>
        <w:spacing w:before="40" w:after="40"/>
      </w:pPr>
      <w:r>
        <w:t xml:space="preserve">Soft deletes: no entity is hard-deleted; a </w:t>
      </w:r>
      <w:proofErr w:type="spellStart"/>
      <w:r>
        <w:t>DeletedAt</w:t>
      </w:r>
      <w:proofErr w:type="spellEnd"/>
      <w:r>
        <w:t xml:space="preserve"> timestamp and </w:t>
      </w:r>
      <w:proofErr w:type="spellStart"/>
      <w:r>
        <w:t>IsActive</w:t>
      </w:r>
      <w:proofErr w:type="spellEnd"/>
      <w:r>
        <w:t xml:space="preserve"> flag preserve referential integrity and audit history.</w:t>
      </w:r>
    </w:p>
    <w:p w:rsidR="006E6FDC" w:rsidRDefault="006E6FDC" w:rsidP="006E6FDC">
      <w:pPr>
        <w:pStyle w:val="ListParagraph"/>
        <w:numPr>
          <w:ilvl w:val="0"/>
          <w:numId w:val="1"/>
        </w:numPr>
        <w:spacing w:before="40" w:after="40"/>
      </w:pPr>
      <w:r>
        <w:t xml:space="preserve">Surrogate keys: all primary keys are system-generated UUIDs to support multi-location </w:t>
      </w:r>
      <w:proofErr w:type="spellStart"/>
      <w:r>
        <w:t>synchronisation</w:t>
      </w:r>
      <w:proofErr w:type="spellEnd"/>
      <w:r>
        <w:t xml:space="preserve"> without collision.</w:t>
      </w:r>
    </w:p>
    <w:p w:rsidR="006E6FDC" w:rsidRDefault="006E6FDC" w:rsidP="006E6FDC">
      <w:pPr>
        <w:pStyle w:val="ListParagraph"/>
        <w:numPr>
          <w:ilvl w:val="0"/>
          <w:numId w:val="1"/>
        </w:numPr>
        <w:spacing w:before="40" w:after="40"/>
      </w:pPr>
      <w:r>
        <w:t xml:space="preserve">Audit columns: every table carries </w:t>
      </w:r>
      <w:proofErr w:type="spellStart"/>
      <w:r>
        <w:t>CreatedAt</w:t>
      </w:r>
      <w:proofErr w:type="spellEnd"/>
      <w:r>
        <w:t xml:space="preserve">, </w:t>
      </w:r>
      <w:proofErr w:type="spellStart"/>
      <w:r>
        <w:t>UpdatedAt</w:t>
      </w:r>
      <w:proofErr w:type="spellEnd"/>
      <w:r>
        <w:t xml:space="preserve">, </w:t>
      </w:r>
      <w:proofErr w:type="spellStart"/>
      <w:r>
        <w:t>CreatedBy</w:t>
      </w:r>
      <w:proofErr w:type="spellEnd"/>
      <w:r>
        <w:t xml:space="preserve">, and </w:t>
      </w:r>
      <w:proofErr w:type="spellStart"/>
      <w:r>
        <w:t>UpdatedBy</w:t>
      </w:r>
      <w:proofErr w:type="spellEnd"/>
      <w:r>
        <w:t xml:space="preserve"> columns.</w:t>
      </w:r>
    </w:p>
    <w:p w:rsidR="006E6FDC" w:rsidRDefault="006E6FDC" w:rsidP="006E6FDC">
      <w:pPr>
        <w:pStyle w:val="ListParagraph"/>
        <w:numPr>
          <w:ilvl w:val="0"/>
          <w:numId w:val="1"/>
        </w:numPr>
        <w:spacing w:before="40" w:after="40"/>
      </w:pPr>
      <w:r>
        <w:t xml:space="preserve">Versioning: </w:t>
      </w:r>
      <w:proofErr w:type="spellStart"/>
      <w:r>
        <w:t>MenuItem</w:t>
      </w:r>
      <w:proofErr w:type="spellEnd"/>
      <w:r>
        <w:t xml:space="preserve"> and Recipe support a Version field and an </w:t>
      </w:r>
      <w:proofErr w:type="spellStart"/>
      <w:r>
        <w:t>IsActive</w:t>
      </w:r>
      <w:proofErr w:type="spellEnd"/>
      <w:r>
        <w:t xml:space="preserve"> flag so historical orders remain resolvable.</w:t>
      </w:r>
    </w:p>
    <w:p w:rsidR="006E6FDC" w:rsidRDefault="006E6FDC" w:rsidP="006E6FDC">
      <w:pPr>
        <w:pStyle w:val="ListParagraph"/>
        <w:numPr>
          <w:ilvl w:val="0"/>
          <w:numId w:val="1"/>
        </w:numPr>
        <w:spacing w:before="40" w:after="40"/>
      </w:pPr>
      <w:r>
        <w:t>Location scoping: entities that exist per-location (</w:t>
      </w:r>
      <w:proofErr w:type="spellStart"/>
      <w:r>
        <w:t>InventoryStock</w:t>
      </w:r>
      <w:proofErr w:type="spellEnd"/>
      <w:r>
        <w:t xml:space="preserve">, </w:t>
      </w:r>
      <w:proofErr w:type="spellStart"/>
      <w:r>
        <w:t>ServingCounter</w:t>
      </w:r>
      <w:proofErr w:type="spellEnd"/>
      <w:r>
        <w:t xml:space="preserve">, Staff, </w:t>
      </w:r>
      <w:proofErr w:type="gramStart"/>
      <w:r>
        <w:t>Shift</w:t>
      </w:r>
      <w:proofErr w:type="gramEnd"/>
      <w:r>
        <w:t xml:space="preserve">) carry a </w:t>
      </w:r>
      <w:proofErr w:type="spellStart"/>
      <w:r>
        <w:t>LocationId</w:t>
      </w:r>
      <w:proofErr w:type="spellEnd"/>
      <w:r>
        <w:t xml:space="preserve"> foreign key for multi-site support.</w:t>
      </w:r>
    </w:p>
    <w:p w:rsidR="006E6FDC" w:rsidRDefault="006E6FDC" w:rsidP="006E6FDC">
      <w:pPr>
        <w:spacing w:before="100" w:after="100"/>
      </w:pPr>
    </w:p>
    <w:p w:rsidR="006E6FDC" w:rsidRDefault="006E6FDC" w:rsidP="006E6FDC">
      <w:pPr>
        <w:pStyle w:val="Heading2"/>
      </w:pPr>
      <w:r>
        <w:t>18.3 Cardinality Notation</w:t>
      </w:r>
    </w:p>
    <w:p w:rsidR="006E6FDC" w:rsidRDefault="006E6FDC" w:rsidP="006E6FDC">
      <w:pPr>
        <w:spacing w:before="80" w:after="80"/>
      </w:pPr>
      <w:r>
        <w:t>The ER diagrams use Crow's Foot notation:</w:t>
      </w:r>
    </w:p>
    <w:p w:rsidR="006E6FDC" w:rsidRDefault="006E6FDC" w:rsidP="006E6FDC">
      <w:pPr>
        <w:pStyle w:val="ListParagraph"/>
        <w:numPr>
          <w:ilvl w:val="0"/>
          <w:numId w:val="1"/>
        </w:numPr>
        <w:spacing w:before="40" w:after="40"/>
      </w:pPr>
      <w:r>
        <w:t>||—|{ : one-to-many (mandatory on both ends)</w:t>
      </w:r>
    </w:p>
    <w:p w:rsidR="006E6FDC" w:rsidRDefault="006E6FDC" w:rsidP="006E6FDC">
      <w:pPr>
        <w:pStyle w:val="ListParagraph"/>
        <w:numPr>
          <w:ilvl w:val="0"/>
          <w:numId w:val="1"/>
        </w:numPr>
        <w:spacing w:before="40" w:after="40"/>
      </w:pPr>
      <w:r>
        <w:t>|o—o{ : zero-or-one to zero-or-many (optional)</w:t>
      </w:r>
    </w:p>
    <w:p w:rsidR="006E6FDC" w:rsidRDefault="006E6FDC" w:rsidP="006E6FDC">
      <w:pPr>
        <w:pStyle w:val="ListParagraph"/>
        <w:numPr>
          <w:ilvl w:val="0"/>
          <w:numId w:val="1"/>
        </w:numPr>
        <w:spacing w:before="40" w:after="40"/>
      </w:pPr>
      <w:r>
        <w:t>}|—|{ : many-to-many (resolved via a junction/associative table)</w:t>
      </w:r>
    </w:p>
    <w:p w:rsidR="006E6FDC" w:rsidRDefault="006E6FDC" w:rsidP="006E6FDC">
      <w:pPr>
        <w:spacing w:before="100" w:after="100"/>
      </w:pPr>
    </w:p>
    <w:p w:rsidR="00E7493B" w:rsidRDefault="00E7493B">
      <w:bookmarkStart w:id="0" w:name="_GoBack"/>
      <w:bookmarkEnd w:id="0"/>
    </w:p>
    <w:sectPr w:rsidR="00E74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AC0C73"/>
    <w:multiLevelType w:val="hybridMultilevel"/>
    <w:tmpl w:val="AC9EA5E4"/>
    <w:lvl w:ilvl="0" w:tplc="86C6EC90">
      <w:start w:val="1"/>
      <w:numFmt w:val="bullet"/>
      <w:lvlText w:val="•"/>
      <w:lvlJc w:val="left"/>
      <w:pPr>
        <w:ind w:left="720" w:hanging="360"/>
      </w:pPr>
    </w:lvl>
    <w:lvl w:ilvl="1" w:tplc="FB52FF02">
      <w:numFmt w:val="decimal"/>
      <w:lvlText w:val=""/>
      <w:lvlJc w:val="left"/>
    </w:lvl>
    <w:lvl w:ilvl="2" w:tplc="909630E4">
      <w:numFmt w:val="decimal"/>
      <w:lvlText w:val=""/>
      <w:lvlJc w:val="left"/>
    </w:lvl>
    <w:lvl w:ilvl="3" w:tplc="0E5AF8F8">
      <w:numFmt w:val="decimal"/>
      <w:lvlText w:val=""/>
      <w:lvlJc w:val="left"/>
    </w:lvl>
    <w:lvl w:ilvl="4" w:tplc="08585846">
      <w:numFmt w:val="decimal"/>
      <w:lvlText w:val=""/>
      <w:lvlJc w:val="left"/>
    </w:lvl>
    <w:lvl w:ilvl="5" w:tplc="F200B024">
      <w:numFmt w:val="decimal"/>
      <w:lvlText w:val=""/>
      <w:lvlJc w:val="left"/>
    </w:lvl>
    <w:lvl w:ilvl="6" w:tplc="FFC4B058">
      <w:numFmt w:val="decimal"/>
      <w:lvlText w:val=""/>
      <w:lvlJc w:val="left"/>
    </w:lvl>
    <w:lvl w:ilvl="7" w:tplc="AD16D6C6">
      <w:numFmt w:val="decimal"/>
      <w:lvlText w:val=""/>
      <w:lvlJc w:val="left"/>
    </w:lvl>
    <w:lvl w:ilvl="8" w:tplc="220A62B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5D9B"/>
    <w:rsid w:val="00145D9B"/>
    <w:rsid w:val="006E6FDC"/>
    <w:rsid w:val="00E7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6FDC"/>
    <w:pPr>
      <w:spacing w:after="0" w:line="240" w:lineRule="auto"/>
    </w:pPr>
    <w:rPr>
      <w:rFonts w:ascii="Arial" w:eastAsia="Arial" w:hAnsi="Arial" w:cs="Arial"/>
      <w:color w:val="1C2833"/>
    </w:rPr>
  </w:style>
  <w:style w:type="paragraph" w:styleId="Heading1">
    <w:name w:val="heading 1"/>
    <w:link w:val="Heading1Char"/>
    <w:qFormat/>
    <w:rsid w:val="006E6FDC"/>
    <w:pPr>
      <w:spacing w:before="360" w:after="120" w:line="240" w:lineRule="auto"/>
      <w:outlineLvl w:val="0"/>
    </w:pPr>
    <w:rPr>
      <w:rFonts w:ascii="Arial" w:eastAsia="Arial" w:hAnsi="Arial" w:cs="Arial"/>
      <w:b/>
      <w:bCs/>
      <w:color w:val="1B4F72"/>
      <w:sz w:val="32"/>
      <w:szCs w:val="32"/>
    </w:rPr>
  </w:style>
  <w:style w:type="paragraph" w:styleId="Heading2">
    <w:name w:val="heading 2"/>
    <w:link w:val="Heading2Char"/>
    <w:qFormat/>
    <w:rsid w:val="006E6FDC"/>
    <w:pPr>
      <w:spacing w:before="280" w:after="80" w:line="240" w:lineRule="auto"/>
      <w:outlineLvl w:val="1"/>
    </w:pPr>
    <w:rPr>
      <w:rFonts w:ascii="Arial" w:eastAsia="Arial" w:hAnsi="Arial" w:cs="Arial"/>
      <w:b/>
      <w:bCs/>
      <w:color w:val="2E86C1"/>
      <w:sz w:val="26"/>
      <w:szCs w:val="26"/>
    </w:rPr>
  </w:style>
  <w:style w:type="paragraph" w:styleId="Heading3">
    <w:name w:val="heading 3"/>
    <w:link w:val="Heading3Char"/>
    <w:qFormat/>
    <w:rsid w:val="006E6FDC"/>
    <w:pPr>
      <w:spacing w:before="200" w:after="60" w:line="240" w:lineRule="auto"/>
      <w:outlineLvl w:val="2"/>
    </w:pPr>
    <w:rPr>
      <w:rFonts w:ascii="Arial" w:eastAsia="Arial" w:hAnsi="Arial" w:cs="Arial"/>
      <w:b/>
      <w:bCs/>
      <w:color w:val="1B4F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6FDC"/>
    <w:rPr>
      <w:rFonts w:ascii="Arial" w:eastAsia="Arial" w:hAnsi="Arial" w:cs="Arial"/>
      <w:b/>
      <w:bCs/>
      <w:color w:val="1B4F72"/>
      <w:sz w:val="32"/>
      <w:szCs w:val="32"/>
    </w:rPr>
  </w:style>
  <w:style w:type="character" w:customStyle="1" w:styleId="Heading2Char">
    <w:name w:val="Heading 2 Char"/>
    <w:basedOn w:val="DefaultParagraphFont"/>
    <w:link w:val="Heading2"/>
    <w:rsid w:val="006E6FDC"/>
    <w:rPr>
      <w:rFonts w:ascii="Arial" w:eastAsia="Arial" w:hAnsi="Arial" w:cs="Arial"/>
      <w:b/>
      <w:bCs/>
      <w:color w:val="2E86C1"/>
      <w:sz w:val="26"/>
      <w:szCs w:val="26"/>
    </w:rPr>
  </w:style>
  <w:style w:type="character" w:customStyle="1" w:styleId="Heading3Char">
    <w:name w:val="Heading 3 Char"/>
    <w:basedOn w:val="DefaultParagraphFont"/>
    <w:link w:val="Heading3"/>
    <w:rsid w:val="006E6FDC"/>
    <w:rPr>
      <w:rFonts w:ascii="Arial" w:eastAsia="Arial" w:hAnsi="Arial" w:cs="Arial"/>
      <w:b/>
      <w:bCs/>
      <w:color w:val="1B4F72"/>
    </w:rPr>
  </w:style>
  <w:style w:type="paragraph" w:styleId="ListParagraph">
    <w:name w:val="List Paragraph"/>
    <w:qFormat/>
    <w:rsid w:val="006E6FDC"/>
    <w:pPr>
      <w:spacing w:after="0" w:line="240" w:lineRule="auto"/>
    </w:pPr>
    <w:rPr>
      <w:rFonts w:ascii="Arial" w:eastAsia="Arial" w:hAnsi="Arial" w:cs="Arial"/>
      <w:color w:val="1C283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6FDC"/>
    <w:pPr>
      <w:spacing w:after="0" w:line="240" w:lineRule="auto"/>
    </w:pPr>
    <w:rPr>
      <w:rFonts w:ascii="Arial" w:eastAsia="Arial" w:hAnsi="Arial" w:cs="Arial"/>
      <w:color w:val="1C2833"/>
    </w:rPr>
  </w:style>
  <w:style w:type="paragraph" w:styleId="Heading1">
    <w:name w:val="heading 1"/>
    <w:link w:val="Heading1Char"/>
    <w:qFormat/>
    <w:rsid w:val="006E6FDC"/>
    <w:pPr>
      <w:spacing w:before="360" w:after="120" w:line="240" w:lineRule="auto"/>
      <w:outlineLvl w:val="0"/>
    </w:pPr>
    <w:rPr>
      <w:rFonts w:ascii="Arial" w:eastAsia="Arial" w:hAnsi="Arial" w:cs="Arial"/>
      <w:b/>
      <w:bCs/>
      <w:color w:val="1B4F72"/>
      <w:sz w:val="32"/>
      <w:szCs w:val="32"/>
    </w:rPr>
  </w:style>
  <w:style w:type="paragraph" w:styleId="Heading2">
    <w:name w:val="heading 2"/>
    <w:link w:val="Heading2Char"/>
    <w:qFormat/>
    <w:rsid w:val="006E6FDC"/>
    <w:pPr>
      <w:spacing w:before="280" w:after="80" w:line="240" w:lineRule="auto"/>
      <w:outlineLvl w:val="1"/>
    </w:pPr>
    <w:rPr>
      <w:rFonts w:ascii="Arial" w:eastAsia="Arial" w:hAnsi="Arial" w:cs="Arial"/>
      <w:b/>
      <w:bCs/>
      <w:color w:val="2E86C1"/>
      <w:sz w:val="26"/>
      <w:szCs w:val="26"/>
    </w:rPr>
  </w:style>
  <w:style w:type="paragraph" w:styleId="Heading3">
    <w:name w:val="heading 3"/>
    <w:link w:val="Heading3Char"/>
    <w:qFormat/>
    <w:rsid w:val="006E6FDC"/>
    <w:pPr>
      <w:spacing w:before="200" w:after="60" w:line="240" w:lineRule="auto"/>
      <w:outlineLvl w:val="2"/>
    </w:pPr>
    <w:rPr>
      <w:rFonts w:ascii="Arial" w:eastAsia="Arial" w:hAnsi="Arial" w:cs="Arial"/>
      <w:b/>
      <w:bCs/>
      <w:color w:val="1B4F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6FDC"/>
    <w:rPr>
      <w:rFonts w:ascii="Arial" w:eastAsia="Arial" w:hAnsi="Arial" w:cs="Arial"/>
      <w:b/>
      <w:bCs/>
      <w:color w:val="1B4F72"/>
      <w:sz w:val="32"/>
      <w:szCs w:val="32"/>
    </w:rPr>
  </w:style>
  <w:style w:type="character" w:customStyle="1" w:styleId="Heading2Char">
    <w:name w:val="Heading 2 Char"/>
    <w:basedOn w:val="DefaultParagraphFont"/>
    <w:link w:val="Heading2"/>
    <w:rsid w:val="006E6FDC"/>
    <w:rPr>
      <w:rFonts w:ascii="Arial" w:eastAsia="Arial" w:hAnsi="Arial" w:cs="Arial"/>
      <w:b/>
      <w:bCs/>
      <w:color w:val="2E86C1"/>
      <w:sz w:val="26"/>
      <w:szCs w:val="26"/>
    </w:rPr>
  </w:style>
  <w:style w:type="character" w:customStyle="1" w:styleId="Heading3Char">
    <w:name w:val="Heading 3 Char"/>
    <w:basedOn w:val="DefaultParagraphFont"/>
    <w:link w:val="Heading3"/>
    <w:rsid w:val="006E6FDC"/>
    <w:rPr>
      <w:rFonts w:ascii="Arial" w:eastAsia="Arial" w:hAnsi="Arial" w:cs="Arial"/>
      <w:b/>
      <w:bCs/>
      <w:color w:val="1B4F72"/>
    </w:rPr>
  </w:style>
  <w:style w:type="paragraph" w:styleId="ListParagraph">
    <w:name w:val="List Paragraph"/>
    <w:qFormat/>
    <w:rsid w:val="006E6FDC"/>
    <w:pPr>
      <w:spacing w:after="0" w:line="240" w:lineRule="auto"/>
    </w:pPr>
    <w:rPr>
      <w:rFonts w:ascii="Arial" w:eastAsia="Arial" w:hAnsi="Arial" w:cs="Arial"/>
      <w:color w:val="1C28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2026-04-15T00:09:00Z</dcterms:created>
  <dcterms:modified xsi:type="dcterms:W3CDTF">2026-04-15T00:09:00Z</dcterms:modified>
</cp:coreProperties>
</file>