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Cafeteria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BPMN Process Diagrams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Based on SRS, User Stories, and Use Case Scenarios</w:t>
      </w:r>
    </w:p>
    <w:p>
      <w:pPr>
        <w:pBdr>
          <w:bottom w:val="single" w:color="2E75B6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BPMN Notation Legend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● Start Event  </w:t>
      </w:r>
      <w:r>
        <w:rPr>
          <w:rFonts w:ascii="Arial" w:cs="Arial" w:eastAsia="Arial" w:hAnsi="Arial"/>
          <w:sz w:val="20"/>
          <w:szCs w:val="20"/>
        </w:rPr>
        <w:t xml:space="preserve">(white circle) — marks where a process begins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● End Event  </w:t>
      </w:r>
      <w:r>
        <w:rPr>
          <w:rFonts w:ascii="Arial" w:cs="Arial" w:eastAsia="Arial" w:hAnsi="Arial"/>
          <w:sz w:val="20"/>
          <w:szCs w:val="20"/>
        </w:rPr>
        <w:t xml:space="preserve">(filled dark circle) — marks where a process ends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◇ XOR Gateway  </w:t>
      </w:r>
      <w:r>
        <w:rPr>
          <w:rFonts w:ascii="Arial" w:cs="Arial" w:eastAsia="Arial" w:hAnsi="Arial"/>
          <w:sz w:val="20"/>
          <w:szCs w:val="20"/>
        </w:rPr>
        <w:t xml:space="preserve">(diamond) — exclusive decision point, one path taken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□ Task  </w:t>
      </w:r>
      <w:r>
        <w:rPr>
          <w:rFonts w:ascii="Arial" w:cs="Arial" w:eastAsia="Arial" w:hAnsi="Arial"/>
          <w:sz w:val="20"/>
          <w:szCs w:val="20"/>
        </w:rPr>
        <w:t xml:space="preserve">(rounded rectangle) — an activity or action step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Sequence Flow  </w:t>
      </w:r>
      <w:r>
        <w:rPr>
          <w:rFonts w:ascii="Arial" w:cs="Arial" w:eastAsia="Arial" w:hAnsi="Arial"/>
          <w:sz w:val="20"/>
          <w:szCs w:val="20"/>
        </w:rPr>
        <w:t xml:space="preserve">(solid arrow) — normal flow between steps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- - → Message Flow  </w:t>
      </w:r>
      <w:r>
        <w:rPr>
          <w:rFonts w:ascii="Arial" w:cs="Arial" w:eastAsia="Arial" w:hAnsi="Arial"/>
          <w:sz w:val="20"/>
          <w:szCs w:val="20"/>
        </w:rPr>
        <w:t xml:space="preserve">(dashed arrow) — cross-lane communication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Swim Lanes  </w:t>
      </w:r>
      <w:r>
        <w:rPr>
          <w:rFonts w:ascii="Arial" w:cs="Arial" w:eastAsia="Arial" w:hAnsi="Arial"/>
          <w:sz w:val="20"/>
          <w:szCs w:val="20"/>
        </w:rPr>
        <w:t xml:space="preserve">— horizontal bands representing actors/roles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Order-to-Payment &amp; Kitchen Flow</w:t>
      </w:r>
    </w:p>
    <w:p>
      <w:pPr>
        <w:spacing w:after="160" w:before="160"/>
        <w:jc w:val="center"/>
      </w:pPr>
      <w:r>
        <w:drawing>
          <wp:inline distT="0" distB="0" distL="0" distR="0">
            <wp:extent cx="79248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Shows the full customer order lifecycle from walk-in or pre-order, through POS entry, KDS dispatch, allergen acknowledgement, meal preparation, and payment processing. Swim lanes: Customer, Serving Staff, Kitchen Staff, System.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Inventory &amp; Procurement Flow</w:t>
      </w:r>
    </w:p>
    <w:p>
      <w:pPr>
        <w:spacing w:after="160" w:before="160"/>
        <w:jc w:val="center"/>
      </w:pPr>
      <w:r>
        <w:drawing>
          <wp:inline distT="0" distB="0" distL="0" distR="0">
            <wp:extent cx="79248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Covers the automated low-stock alert trigger, inventory manager review, purchase order drafting and adjustment, supplier availability gateway, goods delivery, and stock receipt with FIFO batch tagging. Swim lanes: System, Inventory Manager, Supplier.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Staff Scheduling &amp; Payroll Flow</w:t>
      </w:r>
    </w:p>
    <w:p>
      <w:pPr>
        <w:spacing w:after="160" w:before="160"/>
        <w:jc w:val="center"/>
      </w:pPr>
      <w:r>
        <w:drawing>
          <wp:inline distT="0" distB="0" distL="0" distR="0">
            <wp:extent cx="73152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Details schedule auto-generation, conflict detection, shift swap requests, digital clock-in/out, and HR payroll export with exception resolution. Swim lanes: Director, Staff, HR Department.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Finance — P&amp;L &amp; Budget Variance</w:t>
      </w:r>
    </w:p>
    <w:p>
      <w:pPr>
        <w:spacing w:after="160" w:before="160"/>
        <w:jc w:val="center"/>
      </w:pPr>
      <w:r>
        <w:drawing>
          <wp:inline distT="0" distB="0" distL="0" distR="0">
            <wp:extent cx="7315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Depicts month-end P&amp;L triggering, system computation, director review, budget variance annotation, COGS drill-down, and PDF/Excel export. Swim lanes: Finance Department, System.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IT Deployment &amp; Security Incident Flow</w:t>
      </w:r>
    </w:p>
    <w:p>
      <w:pPr>
        <w:spacing w:after="160" w:before="160"/>
        <w:jc w:val="center"/>
      </w:pPr>
      <w:r>
        <w:drawing>
          <wp:inline distT="0" distB="0" distL="0" distR="0">
            <wp:extent cx="7620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Two parallel flows — blue-green deployment (provision → health checks → traffic ramp → stability) and security incident handling (audit log search → breach assessment → DPO escalation). Swim lanes: IT Department, System/Infra, Audit/Security.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b7b432db43fbb77f29cdd7f0d48a732570741.png"/><Relationship Id="rId8" Type="http://schemas.openxmlformats.org/officeDocument/2006/relationships/image" Target="media/0cd9aa1784fa9e7338e0c5edddac632a87583d4e.png"/><Relationship Id="rId9" Type="http://schemas.openxmlformats.org/officeDocument/2006/relationships/image" Target="media/66800ee94c350ff09633fac76a8cdb806037ddd7.png"/><Relationship Id="rId10" Type="http://schemas.openxmlformats.org/officeDocument/2006/relationships/image" Target="media/531741c86baea574ca377b0b10979edaa82b2336.png"/><Relationship Id="rId11" Type="http://schemas.openxmlformats.org/officeDocument/2006/relationships/image" Target="media/d50d296426cc6720bdcd30215ba307ed8ec0222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2026-04-29T08:12:17.941Z</dcterms:created>
  <dcterms:modified xsi:type="dcterms:W3CDTF">2026-04-29T08:12:17.942Z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