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0"/>
      </w:pPr>
    </w:p>
    <w:p>
      <w:pPr>
        <w:spacing w:after="120"/>
        <w:jc w:val="center"/>
      </w:pPr>
      <w:r>
        <w:rPr>
          <w:rFonts w:ascii="Arial" w:cs="Arial" w:eastAsia="Arial" w:hAnsi="Arial"/>
          <w:b/>
          <w:bCs/>
          <w:color w:val="1A1A2E"/>
          <w:sz w:val="56"/>
          <w:szCs w:val="56"/>
        </w:rPr>
        <w:t xml:space="preserve">ATTESTOR</w:t>
      </w:r>
    </w:p>
    <w:p>
      <w:pPr>
        <w:pBdr>
          <w:bottom w:val="single" w:color="B0C4D8" w:sz="4" w:space="1"/>
        </w:pBdr>
        <w:spacing w:before="200" w:after="200"/>
      </w:pPr>
    </w:p>
    <w:p>
      <w:pPr>
        <w:spacing w:before="200" w:after="60"/>
        <w:jc w:val="center"/>
      </w:pPr>
      <w:r>
        <w:rPr>
          <w:rFonts w:ascii="Georgia" w:cs="Georgia" w:eastAsia="Georgia" w:hAnsi="Georgia"/>
          <w:i/>
          <w:iCs/>
          <w:color w:val="2E4057"/>
          <w:sz w:val="28"/>
          <w:szCs w:val="28"/>
        </w:rPr>
        <w:t xml:space="preserve">A Founding Manifesto</w:t>
      </w:r>
    </w:p>
    <w:p>
      <w:pPr>
        <w:spacing w:before="200" w:after="60"/>
        <w:jc w:val="center"/>
      </w:pPr>
      <w:r>
        <w:rPr>
          <w:rFonts w:ascii="Arial" w:cs="Arial" w:eastAsia="Arial" w:hAnsi="Arial"/>
          <w:color w:val="5A7D9A"/>
          <w:sz w:val="24"/>
          <w:szCs w:val="24"/>
        </w:rPr>
        <w:t xml:space="preserve">Cross-Asset Front-to-Back Trading Platform</w:t>
      </w:r>
    </w:p>
    <w:p>
      <w:pPr>
        <w:spacing w:before="600"/>
        <w:jc w:val="center"/>
      </w:pPr>
      <w:r>
        <w:rPr>
          <w:rFonts w:ascii="Arial" w:cs="Arial" w:eastAsia="Arial" w:hAnsi="Arial"/>
          <w:b/>
          <w:bCs/>
          <w:color w:val="3A6EA5"/>
          <w:sz w:val="20"/>
          <w:szCs w:val="20"/>
        </w:rPr>
        <w:t xml:space="preserve">CONFIDENTIAL</w:t>
      </w:r>
    </w:p>
    <w:p>
      <w:pPr>
        <w:spacing w:before="120"/>
        <w:jc w:val="center"/>
      </w:pPr>
      <w:r>
        <w:rPr>
          <w:rFonts w:ascii="Arial" w:cs="Arial" w:eastAsia="Arial" w:hAnsi="Arial"/>
          <w:color w:val="5A7D9A"/>
          <w:sz w:val="20"/>
          <w:szCs w:val="20"/>
        </w:rPr>
        <w:t xml:space="preserve">February 2026</w:t>
      </w:r>
    </w:p>
    <w:p>
      <w:pPr>
        <w:sectPr>
          <w:pgSz w:w="12240" w:h="15840" w:orient="portrait"/>
          <w:pgMar w:top="1440" w:right="1440" w:bottom="1440" w:left="1440" w:header="708" w:footer="708" w:gutter="0"/>
          <w:pgNumType/>
          <w:docGrid w:linePitch="360"/>
        </w:sectPr>
      </w:pPr>
    </w:p>
    <w:p>
      <w:pPr>
        <w:pStyle w:val="Heading1"/>
      </w:pPr>
      <w:r>
        <w:t xml:space="preserve">The Problem</w:t>
      </w:r>
    </w:p>
    <w:p>
      <w:pPr>
        <w:spacing w:before="80" w:after="160" w:line="312"/>
      </w:pPr>
      <w:r>
        <w:rPr>
          <w:rFonts w:ascii="Georgia" w:cs="Georgia" w:eastAsia="Georgia" w:hAnsi="Georgia"/>
          <w:sz w:val="22"/>
          <w:szCs w:val="22"/>
        </w:rPr>
        <w:t xml:space="preserve">The current trading technology estate is the geological record of three decades of financial innovation. Each layer — equities cash, listed derivatives, OTC structures, securities financing, crypto — was built in its own era, with its own data model and its own definition of a “trade.” The result is an archipelago of systems held together by brittle integrations, reconciliation batches, and manual intervention.</w:t>
      </w:r>
    </w:p>
    <w:p>
      <w:pPr>
        <w:spacing w:before="80" w:after="160" w:line="312"/>
      </w:pPr>
      <w:r>
        <w:rPr>
          <w:rFonts w:ascii="Georgia" w:cs="Georgia" w:eastAsia="Georgia" w:hAnsi="Georgia"/>
          <w:sz w:val="22"/>
          <w:szCs w:val="22"/>
        </w:rPr>
        <w:t xml:space="preserve">The cost of maintaining this archipelago has crossed an inflection point. Every new regulatory mandate, every new product variant, every client request for consolidated reporting exposes the same structural deficit: there is no single, authoritative representation of what the firm owns, owes, or is exposed to.</w:t>
      </w:r>
    </w:p>
    <w:p>
      <w:pPr>
        <w:spacing w:before="80" w:after="160" w:line="312"/>
      </w:pPr>
      <w:r>
        <w:rPr>
          <w:rFonts w:ascii="Georgia" w:cs="Georgia" w:eastAsia="Georgia" w:hAnsi="Georgia"/>
          <w:sz w:val="22"/>
          <w:szCs w:val="22"/>
        </w:rPr>
        <w:t xml:space="preserve">We will replace it.</w:t>
      </w:r>
    </w:p>
    <w:p>
      <w:pPr>
        <w:pStyle w:val="Heading1"/>
      </w:pPr>
      <w:r>
        <w:t xml:space="preserve">The Objective</w:t>
      </w:r>
    </w:p>
    <w:p>
      <w:pPr>
        <w:spacing w:before="80" w:after="160" w:line="312"/>
      </w:pPr>
      <w:r>
        <w:rPr>
          <w:rFonts w:ascii="Georgia" w:cs="Georgia" w:eastAsia="Georgia" w:hAnsi="Georgia"/>
          <w:sz w:val="22"/>
          <w:szCs w:val="22"/>
        </w:rPr>
        <w:t xml:space="preserve">Build a single, coherent, front-to-back platform for a client-facing desk trading cross-asset products. The platform covers the full lifecycle — from pre-trade analytics through regulatory reporting and archival — for every product the desk trades.</w:t>
      </w:r>
    </w:p>
    <w:p>
      <w:pPr>
        <w:pStyle w:val="Heading2"/>
      </w:pPr>
      <w:r>
        <w:t xml:space="preserve">Product Universe</w:t>
      </w:r>
    </w:p>
    <w:p>
      <w:pPr>
        <w:spacing w:before="80" w:after="160" w:line="312"/>
      </w:pPr>
      <w:r>
        <w:rPr>
          <w:rFonts w:ascii="Georgia" w:cs="Georgia" w:eastAsia="Georgia" w:hAnsi="Georgia"/>
          <w:sz w:val="22"/>
          <w:szCs w:val="22"/>
        </w:rPr>
        <w:t xml:space="preserve">Equities, fixed income, FX, crypto (spot and derivatives), OTC derivatives, structured products, securities lending and borrowing, repo, margin loans, collateral management, and prime brokerage financing.</w:t>
      </w:r>
    </w:p>
    <w:p>
      <w:pPr>
        <w:pStyle w:val="Heading2"/>
      </w:pPr>
      <w:r>
        <w:t xml:space="preserve">Lifecycle Scope</w:t>
      </w:r>
    </w:p>
    <w:p>
      <w:pPr>
        <w:spacing w:before="80" w:after="160" w:line="312"/>
      </w:pPr>
      <w:r>
        <w:rPr>
          <w:rFonts w:ascii="Georgia" w:cs="Georgia" w:eastAsia="Georgia" w:hAnsi="Georgia"/>
          <w:sz w:val="22"/>
          <w:szCs w:val="22"/>
        </w:rPr>
        <w:t xml:space="preserve">Pricing, execution, booking, confirmation, clearing, settlement, margining, collateral management, corporate actions, valuations, P&amp;L, risk, and regulatory reporting.</w:t>
      </w:r>
    </w:p>
    <w:p>
      <w:pPr>
        <w:pStyle w:val="Heading1"/>
      </w:pPr>
      <w:r>
        <w:t xml:space="preserve">Why Attestor</w:t>
      </w:r>
    </w:p>
    <w:p>
      <w:pPr>
        <w:spacing w:before="80" w:after="160" w:line="312"/>
      </w:pPr>
      <w:r>
        <w:rPr>
          <w:rFonts w:ascii="Georgia" w:cs="Georgia" w:eastAsia="Georgia" w:hAnsi="Georgia"/>
          <w:sz w:val="22"/>
          <w:szCs w:val="22"/>
        </w:rPr>
        <w:t xml:space="preserve">The name encodes the architecture. An attestor is one who attests — who bears witness to a fact and signs their name to it. Every piece of data that enters this platform is an Attestation: a timestamped, source-identified, integrity-protected record of something that was independently observed. Every piece of data that leaves this platform is derived from those Attestations through deterministic, reproducible computation. The platform attests to the truth of its outputs because it can prove the chain from observation to conclusion.</w:t>
      </w:r>
    </w:p>
    <w:p>
      <w:pPr>
        <w:spacing w:before="80" w:after="160" w:line="312"/>
      </w:pPr>
      <w:r>
        <w:rPr>
          <w:rFonts w:ascii="Georgia" w:cs="Georgia" w:eastAsia="Georgia" w:hAnsi="Georgia"/>
          <w:sz w:val="22"/>
          <w:szCs w:val="22"/>
        </w:rPr>
        <w:t xml:space="preserve">There is no hidden state. There are no manual adjustments buried in spreadsheets. There is no number in the system whose provenance cannot be traced, in full, back to independently verifiable observations. That is what it means to be an Attestor.</w:t>
      </w:r>
    </w:p>
    <w:p>
      <w:pPr>
        <w:pStyle w:val="Heading1"/>
      </w:pPr>
      <w:r>
        <w:t xml:space="preserve">Formal Vocabulary</w:t>
      </w:r>
    </w:p>
    <w:p>
      <w:pPr>
        <w:spacing w:before="80" w:after="160" w:line="312"/>
      </w:pPr>
      <w:r>
        <w:rPr>
          <w:rFonts w:ascii="Georgia" w:cs="Georgia" w:eastAsia="Georgia" w:hAnsi="Georgia"/>
          <w:sz w:val="22"/>
          <w:szCs w:val="22"/>
        </w:rPr>
        <w:t xml:space="preserve">The platform adopts a controlled vocabulary drawn from decentralised finance, category theory applied to computer science, and Bayesian epistemology. Every term has a single, unambiguous meaning across the entire codebase and all documentation.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0C4D8" w:sz="1"/>
              <w:left w:val="single" w:color="B0C4D8" w:sz="1"/>
              <w:bottom w:val="single" w:color="2E4057" w:sz="2"/>
              <w:right w:val="single" w:color="B0C4D8"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960"/>
            <w:tcBorders>
              <w:top w:val="single" w:color="B0C4D8" w:sz="1"/>
              <w:left w:val="single" w:color="B0C4D8" w:sz="1"/>
              <w:bottom w:val="single" w:color="2E4057" w:sz="2"/>
              <w:right w:val="single" w:color="B0C4D8"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400"/>
            <w:tcBorders>
              <w:top w:val="single" w:color="B0C4D8" w:sz="1"/>
              <w:left w:val="single" w:color="B0C4D8" w:sz="1"/>
              <w:bottom w:val="single" w:color="B0C4D8" w:sz="1"/>
              <w:right w:val="single" w:color="B0C4D8" w:sz="1"/>
            </w:tcBorders>
            <w:shd w:fill="E8EEF2" w:val="clear"/>
            <w:tcMar>
              <w:top w:type="dxa" w:w="80"/>
              <w:left w:type="dxa" w:w="120"/>
              <w:bottom w:type="dxa" w:w="80"/>
              <w:right w:type="dxa" w:w="120"/>
            </w:tcMar>
          </w:tcPr>
          <w:p>
            <w:r>
              <w:rPr>
                <w:rFonts w:ascii="Arial" w:cs="Arial" w:eastAsia="Arial" w:hAnsi="Arial"/>
                <w:b/>
                <w:bCs/>
                <w:color w:val="2E4057"/>
                <w:sz w:val="20"/>
                <w:szCs w:val="20"/>
              </w:rPr>
              <w:t xml:space="preserve">Oracle</w:t>
            </w:r>
          </w:p>
        </w:tc>
        <w:tc>
          <w:tcPr>
            <w:tcW w:type="dxa" w:w="6960"/>
            <w:tcBorders>
              <w:top w:val="single" w:color="B0C4D8" w:sz="1"/>
              <w:left w:val="single" w:color="B0C4D8" w:sz="1"/>
              <w:bottom w:val="single" w:color="B0C4D8" w:sz="1"/>
              <w:right w:val="single" w:color="B0C4D8" w:sz="1"/>
            </w:tcBorders>
            <w:shd w:fill="E8EEF2" w:val="clear"/>
            <w:tcMar>
              <w:top w:type="dxa" w:w="80"/>
              <w:left w:type="dxa" w:w="120"/>
              <w:bottom w:type="dxa" w:w="80"/>
              <w:right w:type="dxa" w:w="120"/>
            </w:tcMar>
          </w:tcPr>
          <w:p>
            <w:pPr>
              <w:spacing w:line="288"/>
            </w:pPr>
            <w:r>
              <w:rPr>
                <w:rFonts w:ascii="Georgia" w:cs="Georgia" w:eastAsia="Georgia" w:hAnsi="Georgia"/>
                <w:sz w:val="20"/>
                <w:szCs w:val="20"/>
              </w:rPr>
              <w:t xml:space="preserve">Any external, independently observable source of truth. Market data feeds, exchange confirmations, central counterparty margin calls, reference data providers, and regulatory calendars are all Oracles. An Oracle’s output is verifiable: it can be independently reproduced and, if necessary, enforced in court.</w:t>
            </w:r>
          </w:p>
        </w:tc>
      </w:tr>
      <w:tr>
        <w:tc>
          <w:tcPr>
            <w:tcW w:type="dxa" w:w="24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b/>
                <w:bCs/>
                <w:color w:val="2E4057"/>
                <w:sz w:val="20"/>
                <w:szCs w:val="20"/>
              </w:rPr>
              <w:t xml:space="preserve">Attestation</w:t>
            </w:r>
          </w:p>
        </w:tc>
        <w:tc>
          <w:tcPr>
            <w:tcW w:type="dxa" w:w="69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line="288"/>
            </w:pPr>
            <w:r>
              <w:rPr>
                <w:rFonts w:ascii="Georgia" w:cs="Georgia" w:eastAsia="Georgia" w:hAnsi="Georgia"/>
                <w:sz w:val="20"/>
                <w:szCs w:val="20"/>
              </w:rPr>
              <w:t xml:space="preserve">A timestamped, cryptographically signed record of an Oracle’s output at a specific point in time. Attestations are the only admissible inputs to the platform. They are immutable and append-only. An Attestation may carry a confidence class: “firm” (exchange fills, confirmed settlements — effectively a Dirac delta), “quoted” (bid-ask with observable spread — a bounded distribution), or “derived” (model output with calibration uncertainty — a full posterior distribution). The confidence class determines how much epistemic uncertainty the Attestation introduces into downstream computations.</w:t>
            </w:r>
          </w:p>
        </w:tc>
      </w:tr>
      <w:tr>
        <w:tc>
          <w:tcPr>
            <w:tcW w:type="dxa" w:w="2400"/>
            <w:tcBorders>
              <w:top w:val="single" w:color="B0C4D8" w:sz="1"/>
              <w:left w:val="single" w:color="B0C4D8" w:sz="1"/>
              <w:bottom w:val="single" w:color="B0C4D8" w:sz="1"/>
              <w:right w:val="single" w:color="B0C4D8" w:sz="1"/>
            </w:tcBorders>
            <w:shd w:fill="E8EEF2" w:val="clear"/>
            <w:tcMar>
              <w:top w:type="dxa" w:w="80"/>
              <w:left w:type="dxa" w:w="120"/>
              <w:bottom w:type="dxa" w:w="80"/>
              <w:right w:type="dxa" w:w="120"/>
            </w:tcMar>
          </w:tcPr>
          <w:p>
            <w:r>
              <w:rPr>
                <w:rFonts w:ascii="Arial" w:cs="Arial" w:eastAsia="Arial" w:hAnsi="Arial"/>
                <w:b/>
                <w:bCs/>
                <w:color w:val="2E4057"/>
                <w:sz w:val="20"/>
                <w:szCs w:val="20"/>
              </w:rPr>
              <w:t xml:space="preserve">Verifiable Truth</w:t>
            </w:r>
          </w:p>
        </w:tc>
        <w:tc>
          <w:tcPr>
            <w:tcW w:type="dxa" w:w="6960"/>
            <w:tcBorders>
              <w:top w:val="single" w:color="B0C4D8" w:sz="1"/>
              <w:left w:val="single" w:color="B0C4D8" w:sz="1"/>
              <w:bottom w:val="single" w:color="B0C4D8" w:sz="1"/>
              <w:right w:val="single" w:color="B0C4D8" w:sz="1"/>
            </w:tcBorders>
            <w:shd w:fill="E8EEF2" w:val="clear"/>
            <w:tcMar>
              <w:top w:type="dxa" w:w="80"/>
              <w:left w:type="dxa" w:w="120"/>
              <w:bottom w:type="dxa" w:w="80"/>
              <w:right w:type="dxa" w:w="120"/>
            </w:tcMar>
          </w:tcPr>
          <w:p>
            <w:pPr>
              <w:spacing w:line="288"/>
            </w:pPr>
            <w:r>
              <w:rPr>
                <w:rFonts w:ascii="Georgia" w:cs="Georgia" w:eastAsia="Georgia" w:hAnsi="Georgia"/>
                <w:sz w:val="20"/>
                <w:szCs w:val="20"/>
              </w:rPr>
              <w:t xml:space="preserve">A fact derived exclusively from Attestations through a deterministic, reproducible computation. Every position, valuation, risk metric, and P&amp;L figure in the platform is a Verifiable Truth. Given the same set of Attestations and the same version of the computation, any observer must arrive at the same result. A Verifiable Truth may be point-valued (when all upstream Attestations are firm) or distributional (when upstream uncertainty is propagated faithfully).</w:t>
            </w:r>
          </w:p>
        </w:tc>
      </w:tr>
      <w:tr>
        <w:tc>
          <w:tcPr>
            <w:tcW w:type="dxa" w:w="24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b/>
                <w:bCs/>
                <w:color w:val="2E4057"/>
                <w:sz w:val="20"/>
                <w:szCs w:val="20"/>
              </w:rPr>
              <w:t xml:space="preserve">Model Configuration Attestation</w:t>
            </w:r>
          </w:p>
        </w:tc>
        <w:tc>
          <w:tcPr>
            <w:tcW w:type="dxa" w:w="69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line="288"/>
            </w:pPr>
            <w:r>
              <w:rPr>
                <w:rFonts w:ascii="Georgia" w:cs="Georgia" w:eastAsia="Georgia" w:hAnsi="Georgia"/>
                <w:sz w:val="20"/>
                <w:szCs w:val="20"/>
              </w:rPr>
              <w:t xml:space="preserve">A versioned, immutable record of every modelling choice: kernel family, hyperparameters, calibration window, mean function, and the training Attestations from which the parameters were derived. The model configuration is an input on equal footing with market data. Anyone who wants to reproduce a curve, a price, or a risk metric needs both the market Attestations and the model configuration Attestation.</w:t>
            </w:r>
          </w:p>
        </w:tc>
      </w:tr>
      <w:tr>
        <w:tc>
          <w:tcPr>
            <w:tcW w:type="dxa" w:w="2400"/>
            <w:tcBorders>
              <w:top w:val="single" w:color="B0C4D8" w:sz="1"/>
              <w:left w:val="single" w:color="B0C4D8" w:sz="1"/>
              <w:bottom w:val="single" w:color="B0C4D8" w:sz="1"/>
              <w:right w:val="single" w:color="B0C4D8" w:sz="1"/>
            </w:tcBorders>
            <w:shd w:fill="E8EEF2" w:val="clear"/>
            <w:tcMar>
              <w:top w:type="dxa" w:w="80"/>
              <w:left w:type="dxa" w:w="120"/>
              <w:bottom w:type="dxa" w:w="80"/>
              <w:right w:type="dxa" w:w="120"/>
            </w:tcMar>
          </w:tcPr>
          <w:p>
            <w:r>
              <w:rPr>
                <w:rFonts w:ascii="Arial" w:cs="Arial" w:eastAsia="Arial" w:hAnsi="Arial"/>
                <w:b/>
                <w:bCs/>
                <w:color w:val="2E4057"/>
                <w:sz w:val="20"/>
                <w:szCs w:val="20"/>
              </w:rPr>
              <w:t xml:space="preserve">Morphism</w:t>
            </w:r>
          </w:p>
        </w:tc>
        <w:tc>
          <w:tcPr>
            <w:tcW w:type="dxa" w:w="6960"/>
            <w:tcBorders>
              <w:top w:val="single" w:color="B0C4D8" w:sz="1"/>
              <w:left w:val="single" w:color="B0C4D8" w:sz="1"/>
              <w:bottom w:val="single" w:color="B0C4D8" w:sz="1"/>
              <w:right w:val="single" w:color="B0C4D8" w:sz="1"/>
            </w:tcBorders>
            <w:shd w:fill="E8EEF2" w:val="clear"/>
            <w:tcMar>
              <w:top w:type="dxa" w:w="80"/>
              <w:left w:type="dxa" w:w="120"/>
              <w:bottom w:type="dxa" w:w="80"/>
              <w:right w:type="dxa" w:w="120"/>
            </w:tcMar>
          </w:tcPr>
          <w:p>
            <w:pPr>
              <w:spacing w:line="288"/>
            </w:pPr>
            <w:r>
              <w:rPr>
                <w:rFonts w:ascii="Georgia" w:cs="Georgia" w:eastAsia="Georgia" w:hAnsi="Georgia"/>
                <w:sz w:val="20"/>
                <w:szCs w:val="20"/>
              </w:rPr>
              <w:t xml:space="preserve">A structure-preserving transformation between two representations. In the platform, every data transformation — from raw Oracle feed to canonical instrument model, from trade event to ledger entry, from position to risk metric — is modelled as a morphism. This ensures composability, invertibility where required, and formal proof of correctness.</w:t>
            </w:r>
          </w:p>
        </w:tc>
      </w:tr>
      <w:tr>
        <w:tc>
          <w:tcPr>
            <w:tcW w:type="dxa" w:w="24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b/>
                <w:bCs/>
                <w:color w:val="2E4057"/>
                <w:sz w:val="20"/>
                <w:szCs w:val="20"/>
              </w:rPr>
              <w:t xml:space="preserve">Functor</w:t>
            </w:r>
          </w:p>
        </w:tc>
        <w:tc>
          <w:tcPr>
            <w:tcW w:type="dxa" w:w="69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line="288"/>
            </w:pPr>
            <w:r>
              <w:rPr>
                <w:rFonts w:ascii="Georgia" w:cs="Georgia" w:eastAsia="Georgia" w:hAnsi="Georgia"/>
                <w:sz w:val="20"/>
                <w:szCs w:val="20"/>
              </w:rPr>
              <w:t xml:space="preserve">A mapping between categories that preserves structure. The platform uses functors to lift operations defined on one domain (e.g., single-asset pricing) into another (e.g., portfolio-level risk aggregation) while guaranteeing that compositional properties are preserved.</w:t>
            </w:r>
          </w:p>
        </w:tc>
      </w:tr>
      <w:tr>
        <w:tc>
          <w:tcPr>
            <w:tcW w:type="dxa" w:w="2400"/>
            <w:tcBorders>
              <w:top w:val="single" w:color="B0C4D8" w:sz="1"/>
              <w:left w:val="single" w:color="B0C4D8" w:sz="1"/>
              <w:bottom w:val="single" w:color="B0C4D8" w:sz="1"/>
              <w:right w:val="single" w:color="B0C4D8" w:sz="1"/>
            </w:tcBorders>
            <w:shd w:fill="E8EEF2" w:val="clear"/>
            <w:tcMar>
              <w:top w:type="dxa" w:w="80"/>
              <w:left w:type="dxa" w:w="120"/>
              <w:bottom w:type="dxa" w:w="80"/>
              <w:right w:type="dxa" w:w="120"/>
            </w:tcMar>
          </w:tcPr>
          <w:p>
            <w:r>
              <w:rPr>
                <w:rFonts w:ascii="Arial" w:cs="Arial" w:eastAsia="Arial" w:hAnsi="Arial"/>
                <w:b/>
                <w:bCs/>
                <w:color w:val="2E4057"/>
                <w:sz w:val="20"/>
                <w:szCs w:val="20"/>
              </w:rPr>
              <w:t xml:space="preserve">Giry Monad</w:t>
            </w:r>
          </w:p>
        </w:tc>
        <w:tc>
          <w:tcPr>
            <w:tcW w:type="dxa" w:w="6960"/>
            <w:tcBorders>
              <w:top w:val="single" w:color="B0C4D8" w:sz="1"/>
              <w:left w:val="single" w:color="B0C4D8" w:sz="1"/>
              <w:bottom w:val="single" w:color="B0C4D8" w:sz="1"/>
              <w:right w:val="single" w:color="B0C4D8" w:sz="1"/>
            </w:tcBorders>
            <w:shd w:fill="E8EEF2" w:val="clear"/>
            <w:tcMar>
              <w:top w:type="dxa" w:w="80"/>
              <w:left w:type="dxa" w:w="120"/>
              <w:bottom w:type="dxa" w:w="80"/>
              <w:right w:type="dxa" w:w="120"/>
            </w:tcMar>
          </w:tcPr>
          <w:p>
            <w:pPr>
              <w:spacing w:line="288"/>
            </w:pPr>
            <w:r>
              <w:rPr>
                <w:rFonts w:ascii="Georgia" w:cs="Georgia" w:eastAsia="Georgia" w:hAnsi="Georgia"/>
                <w:sz w:val="20"/>
                <w:szCs w:val="20"/>
              </w:rPr>
              <w:t xml:space="preserve">The mathematical framework for computing with probability distributions. An element of Giry(X) is not a point in X but a probability distribution over X. When an Attestation carries uncertainty (a bid-ask spread, a calibration confidence interval), the Giry monad propagates that uncertainty through every downstream morphism. The pricing functor does not produce a single price; it produces a distribution over prices, conditional on the epistemic state encoded in the Attestations. Composition is guaranteed: chaining two Giry morphisms produces a correctly propagated posterior, not a point estimate with hidden assumptions.</w:t>
            </w:r>
          </w:p>
        </w:tc>
      </w:tr>
      <w:tr>
        <w:tc>
          <w:tcPr>
            <w:tcW w:type="dxa" w:w="24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b/>
                <w:bCs/>
                <w:color w:val="2E4057"/>
                <w:sz w:val="20"/>
                <w:szCs w:val="20"/>
              </w:rPr>
              <w:t xml:space="preserve">Commutative Diagram</w:t>
            </w:r>
          </w:p>
        </w:tc>
        <w:tc>
          <w:tcPr>
            <w:tcW w:type="dxa" w:w="69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pPr>
              <w:spacing w:line="288"/>
            </w:pPr>
            <w:r>
              <w:rPr>
                <w:rFonts w:ascii="Georgia" w:cs="Georgia" w:eastAsia="Georgia" w:hAnsi="Georgia"/>
                <w:sz w:val="20"/>
                <w:szCs w:val="20"/>
              </w:rPr>
              <w:t xml:space="preserve">A diagram of morphisms where all paths between the same two objects yield the same result. The platform’s architecture is specified as a set of commutative diagrams: trade capture to ledger to P&amp;L must give the same result regardless of which intermediate representations are traversed. This commutativity is the platform’s correctness invariant.</w:t>
            </w:r>
          </w:p>
        </w:tc>
      </w:tr>
    </w:tbl>
    <w:p>
      <w:pPr>
        <w:spacing w:before="240"/>
      </w:pPr>
    </w:p>
    <w:p>
      <w:pPr>
        <w:spacing w:before="80" w:after="160" w:line="312"/>
      </w:pPr>
      <w:r>
        <w:rPr>
          <w:rFonts w:ascii="Georgia" w:cs="Georgia" w:eastAsia="Georgia" w:hAnsi="Georgia"/>
          <w:i/>
          <w:iCs/>
          <w:color w:val="2E4057"/>
          <w:sz w:val="22"/>
          <w:szCs w:val="22"/>
        </w:rPr>
        <w:t xml:space="preserve">The categorical vocabulary is not ornamental. It serves as a type system for the entire platform: it specifies the interfaces between components with enough precision that correctness can be verified at the boundaries, regardless of the implementation choices made within each component. A team may use a Gaussian process, a Kalman filter, a spline, or a neural network to produce a yield curve — the framework does not care, provided the output is a well-formed element of Giry(curve space) with the required provenance.</w:t>
      </w:r>
    </w:p>
    <w:p>
      <w:pPr>
        <w:pStyle w:val="Heading1"/>
      </w:pPr>
      <w:r>
        <w:t xml:space="preserve">Founding Principles</w:t>
      </w:r>
    </w:p>
    <w:p>
      <w:pPr>
        <w:spacing w:before="80" w:after="160" w:line="312"/>
      </w:pPr>
      <w:r>
        <w:rPr>
          <w:rFonts w:ascii="Georgia" w:cs="Georgia" w:eastAsia="Georgia" w:hAnsi="Georgia"/>
          <w:sz w:val="22"/>
          <w:szCs w:val="22"/>
        </w:rPr>
        <w:t xml:space="preserve">These are non-negotiable. When two principles conflict, ordering reflects precedence.</w:t>
      </w:r>
    </w:p>
    <w:p>
      <w:pPr>
        <w:spacing w:before="240" w:after="60"/>
      </w:pPr>
      <w:r>
        <w:rPr>
          <w:rFonts w:ascii="Arial" w:cs="Arial" w:eastAsia="Arial" w:hAnsi="Arial"/>
          <w:b/>
          <w:bCs/>
          <w:color w:val="3A6EA5"/>
          <w:sz w:val="22"/>
          <w:szCs w:val="22"/>
        </w:rPr>
        <w:t xml:space="preserve">I. </w:t>
      </w:r>
      <w:r>
        <w:rPr>
          <w:rFonts w:ascii="Arial" w:cs="Arial" w:eastAsia="Arial" w:hAnsi="Arial"/>
          <w:b/>
          <w:bCs/>
          <w:color w:val="1A1A2E"/>
          <w:sz w:val="22"/>
          <w:szCs w:val="22"/>
        </w:rPr>
        <w:t xml:space="preserve">Regulatory Primacy</w:t>
      </w:r>
    </w:p>
    <w:p>
      <w:pPr>
        <w:spacing w:before="0" w:after="160" w:line="312"/>
        <w:ind w:left="360"/>
      </w:pPr>
      <w:r>
        <w:rPr>
          <w:rFonts w:ascii="Georgia" w:cs="Georgia" w:eastAsia="Georgia" w:hAnsi="Georgia"/>
          <w:sz w:val="22"/>
          <w:szCs w:val="22"/>
        </w:rPr>
        <w:t xml:space="preserve">Regulatory reporting is not bolted on after the fact. It is encoded in the data model and trade lifecycle from inception. Every state transition, valuation, and risk metric is reportable by construction. The platform’s data model is an isomorphism of the regulatory reporting schema: to report is simply to project, not to transform.</w:t>
      </w:r>
    </w:p>
    <w:p>
      <w:pPr>
        <w:spacing w:before="240" w:after="60"/>
      </w:pPr>
      <w:r>
        <w:rPr>
          <w:rFonts w:ascii="Arial" w:cs="Arial" w:eastAsia="Arial" w:hAnsi="Arial"/>
          <w:b/>
          <w:bCs/>
          <w:color w:val="3A6EA5"/>
          <w:sz w:val="22"/>
          <w:szCs w:val="22"/>
        </w:rPr>
        <w:t xml:space="preserve">II. </w:t>
      </w:r>
      <w:r>
        <w:rPr>
          <w:rFonts w:ascii="Arial" w:cs="Arial" w:eastAsia="Arial" w:hAnsi="Arial"/>
          <w:b/>
          <w:bCs/>
          <w:color w:val="1A1A2E"/>
          <w:sz w:val="22"/>
          <w:szCs w:val="22"/>
        </w:rPr>
        <w:t xml:space="preserve">Single Source of Verifiable Truth</w:t>
      </w:r>
    </w:p>
    <w:p>
      <w:pPr>
        <w:spacing w:before="0" w:after="160" w:line="312"/>
        <w:ind w:left="360"/>
      </w:pPr>
      <w:r>
        <w:rPr>
          <w:rFonts w:ascii="Georgia" w:cs="Georgia" w:eastAsia="Georgia" w:hAnsi="Georgia"/>
          <w:sz w:val="22"/>
          <w:szCs w:val="22"/>
        </w:rPr>
        <w:t xml:space="preserve">One canonical representation of every trade, position, valuation, and risk metric. All consumers — risk, finance, operations, compliance, clients — read from the same immutable, versioned data. Every figure is a Verifiable Truth derived from Attestations through deterministic morphisms. There is no reconciliation because there is nothing to reconcile.</w:t>
      </w:r>
    </w:p>
    <w:p>
      <w:pPr>
        <w:spacing w:before="240" w:after="60"/>
      </w:pPr>
      <w:r>
        <w:rPr>
          <w:rFonts w:ascii="Arial" w:cs="Arial" w:eastAsia="Arial" w:hAnsi="Arial"/>
          <w:b/>
          <w:bCs/>
          <w:color w:val="3A6EA5"/>
          <w:sz w:val="22"/>
          <w:szCs w:val="22"/>
        </w:rPr>
        <w:t xml:space="preserve">III. </w:t>
      </w:r>
      <w:r>
        <w:rPr>
          <w:rFonts w:ascii="Arial" w:cs="Arial" w:eastAsia="Arial" w:hAnsi="Arial"/>
          <w:b/>
          <w:bCs/>
          <w:color w:val="1A1A2E"/>
          <w:sz w:val="22"/>
          <w:szCs w:val="22"/>
        </w:rPr>
        <w:t xml:space="preserve">Temporal Integrity</w:t>
      </w:r>
    </w:p>
    <w:p>
      <w:pPr>
        <w:spacing w:before="0" w:after="160" w:line="312"/>
        <w:ind w:left="360"/>
      </w:pPr>
      <w:r>
        <w:rPr>
          <w:rFonts w:ascii="Georgia" w:cs="Georgia" w:eastAsia="Georgia" w:hAnsi="Georgia"/>
          <w:sz w:val="22"/>
          <w:szCs w:val="22"/>
        </w:rPr>
        <w:t xml:space="preserve">Full bitemporal state: what happened (transaction time) and when the system knew about it (knowledge time). Every mutation is an append to an immutable log. Every prior state is reconstructable. The ledger is a persistent data structure in the functional programming sense: no state is ever destroyed, only superseded.</w:t>
      </w:r>
    </w:p>
    <w:p>
      <w:pPr>
        <w:spacing w:before="240" w:after="60"/>
      </w:pPr>
      <w:r>
        <w:rPr>
          <w:rFonts w:ascii="Arial" w:cs="Arial" w:eastAsia="Arial" w:hAnsi="Arial"/>
          <w:b/>
          <w:bCs/>
          <w:color w:val="3A6EA5"/>
          <w:sz w:val="22"/>
          <w:szCs w:val="22"/>
        </w:rPr>
        <w:t xml:space="preserve">IV. </w:t>
      </w:r>
      <w:r>
        <w:rPr>
          <w:rFonts w:ascii="Arial" w:cs="Arial" w:eastAsia="Arial" w:hAnsi="Arial"/>
          <w:b/>
          <w:bCs/>
          <w:color w:val="1A1A2E"/>
          <w:sz w:val="22"/>
          <w:szCs w:val="22"/>
        </w:rPr>
        <w:t xml:space="preserve">Epistemic Honesty</w:t>
      </w:r>
    </w:p>
    <w:p>
      <w:pPr>
        <w:spacing w:before="0" w:after="160" w:line="312"/>
        <w:ind w:left="360"/>
      </w:pPr>
      <w:r>
        <w:rPr>
          <w:rFonts w:ascii="Georgia" w:cs="Georgia" w:eastAsia="Georgia" w:hAnsi="Georgia"/>
          <w:sz w:val="22"/>
          <w:szCs w:val="22"/>
        </w:rPr>
        <w:t xml:space="preserve">The platform computes with distributions, not point estimates. Every Verifiable Truth carries not just its value but its epistemic strength — the uncertainty inherited from the Attestations and model configurations that produced it. A trade confirmation from an exchange has near-zero uncertainty. A calibrated volatility surface has quantifiable uncertainty derived from input bid-ask spreads. A model price for a bespoke structure inherits all upstream uncertainties. The Giry monad ensures that this uncertainty propagates correctly through every morphism. When the platform reports a number, it reports what it knows and what it does not know.</w:t>
      </w:r>
    </w:p>
    <w:p>
      <w:pPr>
        <w:spacing w:before="240" w:after="60"/>
      </w:pPr>
      <w:r>
        <w:rPr>
          <w:rFonts w:ascii="Arial" w:cs="Arial" w:eastAsia="Arial" w:hAnsi="Arial"/>
          <w:b/>
          <w:bCs/>
          <w:color w:val="3A6EA5"/>
          <w:sz w:val="22"/>
          <w:szCs w:val="22"/>
        </w:rPr>
        <w:t xml:space="preserve">V. </w:t>
      </w:r>
      <w:r>
        <w:rPr>
          <w:rFonts w:ascii="Arial" w:cs="Arial" w:eastAsia="Arial" w:hAnsi="Arial"/>
          <w:b/>
          <w:bCs/>
          <w:color w:val="1A1A2E"/>
          <w:sz w:val="22"/>
          <w:szCs w:val="22"/>
        </w:rPr>
        <w:t xml:space="preserve">Asset-Class Agnosticism via Parametric Polymorphism</w:t>
      </w:r>
    </w:p>
    <w:p>
      <w:pPr>
        <w:spacing w:before="0" w:after="160" w:line="312"/>
        <w:ind w:left="360"/>
      </w:pPr>
      <w:r>
        <w:rPr>
          <w:rFonts w:ascii="Georgia" w:cs="Georgia" w:eastAsia="Georgia" w:hAnsi="Georgia"/>
          <w:sz w:val="22"/>
          <w:szCs w:val="22"/>
        </w:rPr>
        <w:t xml:space="preserve">The core data model, lifecycle engine, and risk framework are generic. Asset-class specifics are expressed through parameterisation and pluggable strategies, never through forked code paths. Adding a new product class means defining its product type and lifecycle morphisms within the existing framework, not writing new infrastructure.</w:t>
      </w:r>
    </w:p>
    <w:p>
      <w:pPr>
        <w:spacing w:before="240" w:after="60"/>
      </w:pPr>
      <w:r>
        <w:rPr>
          <w:rFonts w:ascii="Arial" w:cs="Arial" w:eastAsia="Arial" w:hAnsi="Arial"/>
          <w:b/>
          <w:bCs/>
          <w:color w:val="3A6EA5"/>
          <w:sz w:val="22"/>
          <w:szCs w:val="22"/>
        </w:rPr>
        <w:t xml:space="preserve">VI. </w:t>
      </w:r>
      <w:r>
        <w:rPr>
          <w:rFonts w:ascii="Arial" w:cs="Arial" w:eastAsia="Arial" w:hAnsi="Arial"/>
          <w:b/>
          <w:bCs/>
          <w:color w:val="1A1A2E"/>
          <w:sz w:val="22"/>
          <w:szCs w:val="22"/>
        </w:rPr>
        <w:t xml:space="preserve">Automation by Default</w:t>
      </w:r>
    </w:p>
    <w:p>
      <w:pPr>
        <w:spacing w:before="0" w:after="160" w:line="312"/>
        <w:ind w:left="360"/>
      </w:pPr>
      <w:r>
        <w:rPr>
          <w:rFonts w:ascii="Georgia" w:cs="Georgia" w:eastAsia="Georgia" w:hAnsi="Georgia"/>
          <w:sz w:val="22"/>
          <w:szCs w:val="22"/>
        </w:rPr>
        <w:t xml:space="preserve">Manual intervention is an exception that must be justified, logged, and unwound. STP rates below 98% trigger mandatory remediation. Every manual override is itself an Attestation, attributable and auditable.</w:t>
      </w:r>
    </w:p>
    <w:p>
      <w:pPr>
        <w:spacing w:before="240" w:after="60"/>
      </w:pPr>
      <w:r>
        <w:rPr>
          <w:rFonts w:ascii="Arial" w:cs="Arial" w:eastAsia="Arial" w:hAnsi="Arial"/>
          <w:b/>
          <w:bCs/>
          <w:color w:val="3A6EA5"/>
          <w:sz w:val="22"/>
          <w:szCs w:val="22"/>
        </w:rPr>
        <w:t xml:space="preserve">VII. </w:t>
      </w:r>
      <w:r>
        <w:rPr>
          <w:rFonts w:ascii="Arial" w:cs="Arial" w:eastAsia="Arial" w:hAnsi="Arial"/>
          <w:b/>
          <w:bCs/>
          <w:color w:val="1A1A2E"/>
          <w:sz w:val="22"/>
          <w:szCs w:val="22"/>
        </w:rPr>
        <w:t xml:space="preserve">Defence in Depth</w:t>
      </w:r>
    </w:p>
    <w:p>
      <w:pPr>
        <w:spacing w:before="0" w:after="160" w:line="312"/>
        <w:ind w:left="360"/>
      </w:pPr>
      <w:r>
        <w:rPr>
          <w:rFonts w:ascii="Georgia" w:cs="Georgia" w:eastAsia="Georgia" w:hAnsi="Georgia"/>
          <w:sz w:val="22"/>
          <w:szCs w:val="22"/>
        </w:rPr>
        <w:t xml:space="preserve">Every API call is authenticated, authorised, and logged. Every data mutation is attributable. Encryption at rest and in transit is mandatory. Permissions are derived from business roles, not configured ad hoc.</w:t>
      </w:r>
    </w:p>
    <w:p>
      <w:pPr>
        <w:spacing w:before="240" w:after="60"/>
      </w:pPr>
      <w:r>
        <w:rPr>
          <w:rFonts w:ascii="Arial" w:cs="Arial" w:eastAsia="Arial" w:hAnsi="Arial"/>
          <w:b/>
          <w:bCs/>
          <w:color w:val="3A6EA5"/>
          <w:sz w:val="22"/>
          <w:szCs w:val="22"/>
        </w:rPr>
        <w:t xml:space="preserve">VIII. </w:t>
      </w:r>
      <w:r>
        <w:rPr>
          <w:rFonts w:ascii="Arial" w:cs="Arial" w:eastAsia="Arial" w:hAnsi="Arial"/>
          <w:b/>
          <w:bCs/>
          <w:color w:val="1A1A2E"/>
          <w:sz w:val="22"/>
          <w:szCs w:val="22"/>
        </w:rPr>
        <w:t xml:space="preserve">Observable by Design</w:t>
      </w:r>
    </w:p>
    <w:p>
      <w:pPr>
        <w:spacing w:before="0" w:after="160" w:line="312"/>
        <w:ind w:left="360"/>
      </w:pPr>
      <w:r>
        <w:rPr>
          <w:rFonts w:ascii="Georgia" w:cs="Georgia" w:eastAsia="Georgia" w:hAnsi="Georgia"/>
          <w:sz w:val="22"/>
          <w:szCs w:val="22"/>
        </w:rPr>
        <w:t xml:space="preserve">Every component emits structured telemetry. The system is debuggable in production without code changes. Distributed tracing spans the full lifecycle of every trade. Every business event has a unique, structured representation in the telemetry stream.</w:t>
      </w:r>
    </w:p>
    <w:p>
      <w:r>
        <w:br w:type="page"/>
      </w:r>
    </w:p>
    <w:p>
      <w:pPr>
        <w:pStyle w:val="Heading1"/>
      </w:pPr>
      <w:r>
        <w:t xml:space="preserve">The Five Pillars</w:t>
      </w:r>
    </w:p>
    <w:p>
      <w:pPr>
        <w:spacing w:before="80" w:after="160" w:line="312"/>
      </w:pPr>
      <w:r>
        <w:rPr>
          <w:rFonts w:ascii="Georgia" w:cs="Georgia" w:eastAsia="Georgia" w:hAnsi="Georgia"/>
          <w:sz w:val="22"/>
          <w:szCs w:val="22"/>
        </w:rPr>
        <w:t xml:space="preserve">The platform is decomposed into five composable pillars. Each pillar is a category in its own right; the platform’s correctness is established by proving that the functors between pillars commute. No pillar may hold mutable state that another pillar cannot independently verify from Attestations.</w:t>
      </w:r>
    </w:p>
    <w:p>
      <w:pPr>
        <w:spacing w:before="360" w:after="60"/>
      </w:pPr>
      <w:r>
        <w:rPr>
          <w:rFonts w:ascii="Arial" w:cs="Arial" w:eastAsia="Arial" w:hAnsi="Arial"/>
          <w:color w:val="3A6EA5"/>
          <w:sz w:val="26"/>
          <w:szCs w:val="26"/>
        </w:rPr>
        <w:t xml:space="preserve">Ⅰ  </w:t>
      </w:r>
      <w:r>
        <w:rPr>
          <w:rFonts w:ascii="Arial" w:cs="Arial" w:eastAsia="Arial" w:hAnsi="Arial"/>
          <w:b/>
          <w:bCs/>
          <w:color w:val="1A1A2E"/>
          <w:sz w:val="26"/>
          <w:szCs w:val="26"/>
        </w:rPr>
        <w:t xml:space="preserve">The Gateway — Order and Execution Management</w:t>
      </w:r>
    </w:p>
    <w:p>
      <w:pPr>
        <w:spacing w:before="80" w:after="160" w:line="312"/>
      </w:pPr>
      <w:r>
        <w:rPr>
          <w:rFonts w:ascii="Georgia" w:cs="Georgia" w:eastAsia="Georgia" w:hAnsi="Georgia"/>
          <w:i/>
          <w:iCs/>
          <w:color w:val="2E4057"/>
          <w:sz w:val="22"/>
          <w:szCs w:val="22"/>
        </w:rPr>
        <w:t xml:space="preserve">The boundary between the external world and the platform’s internal categories.</w:t>
      </w:r>
    </w:p>
    <w:p>
      <w:pPr>
        <w:spacing w:before="80" w:after="160" w:line="312"/>
      </w:pPr>
      <w:r>
        <w:rPr>
          <w:rFonts w:ascii="Georgia" w:cs="Georgia" w:eastAsia="Georgia" w:hAnsi="Georgia"/>
          <w:sz w:val="22"/>
          <w:szCs w:val="22"/>
        </w:rPr>
        <w:t xml:space="preserve">The Gateway receives orders from clients and execution reports from exchanges, venues, and counterparties. Every inbound message is validated, normalised, and converted into a canonical event — an Attestation — before it enters the platform.</w:t>
      </w:r>
    </w:p>
    <w:p>
      <w:pPr>
        <w:spacing w:before="80" w:after="160" w:line="312"/>
      </w:pPr>
      <w:r>
        <w:rPr>
          <w:rFonts w:ascii="Georgia" w:cs="Georgia" w:eastAsia="Georgia" w:hAnsi="Georgia"/>
          <w:sz w:val="22"/>
          <w:szCs w:val="22"/>
        </w:rPr>
        <w:t xml:space="preserve">Client orders arrive in heterogeneous formats: FIX messages, API calls, voice-brokered instructions transcribed by operations. The Gateway applies a </w:t>
      </w:r>
      <w:r>
        <w:rPr>
          <w:rFonts w:ascii="Georgia" w:cs="Georgia" w:eastAsia="Georgia" w:hAnsi="Georgia"/>
          <w:b/>
          <w:bCs/>
          <w:sz w:val="22"/>
          <w:szCs w:val="22"/>
        </w:rPr>
        <w:t xml:space="preserve">normalisation functor</w:t>
      </w:r>
      <w:r>
        <w:rPr>
          <w:rFonts w:ascii="Georgia" w:cs="Georgia" w:eastAsia="Georgia" w:hAnsi="Georgia"/>
          <w:sz w:val="22"/>
          <w:szCs w:val="22"/>
        </w:rPr>
        <w:t xml:space="preserve"> that maps every variant onto the platform’s canonical order type. Execution reports from exchanges and OTC counterparties are similarly normalised.</w:t>
      </w:r>
    </w:p>
    <w:p>
      <w:pPr>
        <w:spacing w:before="80" w:after="160" w:line="312"/>
      </w:pPr>
      <w:r>
        <w:rPr>
          <w:rFonts w:ascii="Georgia" w:cs="Georgia" w:eastAsia="Georgia" w:hAnsi="Georgia"/>
          <w:sz w:val="22"/>
          <w:szCs w:val="22"/>
        </w:rPr>
        <w:t xml:space="preserve">The Gateway is the platform’s first line of defence. It enforces pre-trade compliance checks (credit limits, restricted lists, position limits) as </w:t>
      </w:r>
      <w:r>
        <w:rPr>
          <w:rFonts w:ascii="Georgia" w:cs="Georgia" w:eastAsia="Georgia" w:hAnsi="Georgia"/>
          <w:b/>
          <w:bCs/>
          <w:sz w:val="22"/>
          <w:szCs w:val="22"/>
        </w:rPr>
        <w:t xml:space="preserve">guard morphisms</w:t>
      </w:r>
      <w:r>
        <w:rPr>
          <w:rFonts w:ascii="Georgia" w:cs="Georgia" w:eastAsia="Georgia" w:hAnsi="Georgia"/>
          <w:sz w:val="22"/>
          <w:szCs w:val="22"/>
        </w:rPr>
        <w:t xml:space="preserve">: a message that fails a guard is rejected before it can produce state in the ledger. Every rejection is itself an Attestation, fully auditable.</w:t>
      </w:r>
    </w:p>
    <w:p>
      <w:pPr>
        <w:spacing w:before="80" w:after="160" w:line="312"/>
      </w:pPr>
      <w:r>
        <w:rPr>
          <w:rFonts w:ascii="Georgia" w:cs="Georgia" w:eastAsia="Georgia" w:hAnsi="Georgia"/>
          <w:sz w:val="22"/>
          <w:szCs w:val="22"/>
        </w:rPr>
        <w:t xml:space="preserve">Outbound execution requests are routed through a smart order router that selects venue, algorithm, and execution strategy. The router’s decisions are deterministic given its inputs (order parameters, market state Attestations, routing rules) and are therefore reproducible.</w:t>
      </w:r>
    </w:p>
    <w:p>
      <w:pPr>
        <w:spacing w:before="360" w:after="60"/>
      </w:pPr>
      <w:r>
        <w:rPr>
          <w:rFonts w:ascii="Arial" w:cs="Arial" w:eastAsia="Arial" w:hAnsi="Arial"/>
          <w:color w:val="3A6EA5"/>
          <w:sz w:val="26"/>
          <w:szCs w:val="26"/>
        </w:rPr>
        <w:t xml:space="preserve">Ⅱ  </w:t>
      </w:r>
      <w:r>
        <w:rPr>
          <w:rFonts w:ascii="Arial" w:cs="Arial" w:eastAsia="Arial" w:hAnsi="Arial"/>
          <w:b/>
          <w:bCs/>
          <w:color w:val="1A1A2E"/>
          <w:sz w:val="26"/>
          <w:szCs w:val="26"/>
        </w:rPr>
        <w:t xml:space="preserve">The Instrument Model — Universal Product Representation</w:t>
      </w:r>
    </w:p>
    <w:p>
      <w:pPr>
        <w:spacing w:before="80" w:after="160" w:line="312"/>
      </w:pPr>
      <w:r>
        <w:rPr>
          <w:rFonts w:ascii="Georgia" w:cs="Georgia" w:eastAsia="Georgia" w:hAnsi="Georgia"/>
          <w:i/>
          <w:iCs/>
          <w:color w:val="2E4057"/>
          <w:sz w:val="22"/>
          <w:szCs w:val="22"/>
        </w:rPr>
        <w:t xml:space="preserve">A category of financial instruments with ISDA CDM / Rosetta as the initial object.</w:t>
      </w:r>
    </w:p>
    <w:p>
      <w:pPr>
        <w:spacing w:before="80" w:after="160" w:line="312"/>
      </w:pPr>
      <w:r>
        <w:rPr>
          <w:rFonts w:ascii="Georgia" w:cs="Georgia" w:eastAsia="Georgia" w:hAnsi="Georgia"/>
          <w:sz w:val="22"/>
          <w:szCs w:val="22"/>
        </w:rPr>
        <w:t xml:space="preserve">The platform’s instrument model is grounded in the ISDA Common Domain Model (CDM) and its open-source implementation, Rosetta. The CDM provides a machine-readable, machine-executable representation of financial products and their lifecycle events that is rapidly becoming the industry’s lingua franca for regulatory reporting.</w:t>
      </w:r>
    </w:p>
    <w:p>
      <w:pPr>
        <w:spacing w:before="80" w:after="160" w:line="312"/>
      </w:pPr>
      <w:r>
        <w:rPr>
          <w:rFonts w:ascii="Georgia" w:cs="Georgia" w:eastAsia="Georgia" w:hAnsi="Georgia"/>
          <w:sz w:val="22"/>
          <w:szCs w:val="22"/>
        </w:rPr>
        <w:t xml:space="preserve">Every instrument — from a vanilla equity to a bespoke multi-asset autocallable — is represented as an object in the </w:t>
      </w:r>
      <w:r>
        <w:rPr>
          <w:rFonts w:ascii="Georgia" w:cs="Georgia" w:eastAsia="Georgia" w:hAnsi="Georgia"/>
          <w:b/>
          <w:bCs/>
          <w:sz w:val="22"/>
          <w:szCs w:val="22"/>
        </w:rPr>
        <w:t xml:space="preserve">Instrument Category</w:t>
      </w:r>
      <w:r>
        <w:rPr>
          <w:rFonts w:ascii="Georgia" w:cs="Georgia" w:eastAsia="Georgia" w:hAnsi="Georgia"/>
          <w:sz w:val="22"/>
          <w:szCs w:val="22"/>
        </w:rPr>
        <w:t xml:space="preserve">. The category’s morphisms are the lifecycle events: inception, amendment, novation, exercise, expiry, settlement. These morphisms are not ad hoc code; they are formally defined transformations that preserve the instrument’s identity and audit trail.</w:t>
      </w:r>
    </w:p>
    <w:p>
      <w:pPr>
        <w:spacing w:before="80" w:after="160" w:line="312"/>
      </w:pPr>
      <w:r>
        <w:rPr>
          <w:rFonts w:ascii="Georgia" w:cs="Georgia" w:eastAsia="Georgia" w:hAnsi="Georgia"/>
          <w:sz w:val="22"/>
          <w:szCs w:val="22"/>
        </w:rPr>
        <w:t xml:space="preserve">The CDM provides a natural transformation from the instrument representation to the regulatory reporting schema: EMIR, MiFID II/MiFIR, SFTR, Dodd-Frank, MAS, and HKMA reporting are projections of the canonical model, not separate transformations. This is Principle I (Regulatory Primacy) made concrete.</w:t>
      </w:r>
    </w:p>
    <w:p>
      <w:pPr>
        <w:spacing w:before="80" w:after="160" w:line="312"/>
      </w:pPr>
      <w:r>
        <w:rPr>
          <w:rFonts w:ascii="Georgia" w:cs="Georgia" w:eastAsia="Georgia" w:hAnsi="Georgia"/>
          <w:sz w:val="22"/>
          <w:szCs w:val="22"/>
        </w:rPr>
        <w:t xml:space="preserve">The model is parametrically polymorphic: adding a new asset class means defining its product type and lifecycle morphisms within the existing framework. The pricing engine, risk engine, and ledger consume the generic interface, not asset-class-specific implementations.</w:t>
      </w:r>
    </w:p>
    <w:p>
      <w:pPr>
        <w:spacing w:before="360" w:after="60"/>
      </w:pPr>
      <w:r>
        <w:rPr>
          <w:rFonts w:ascii="Arial" w:cs="Arial" w:eastAsia="Arial" w:hAnsi="Arial"/>
          <w:color w:val="3A6EA5"/>
          <w:sz w:val="26"/>
          <w:szCs w:val="26"/>
        </w:rPr>
        <w:t xml:space="preserve">Ⅲ  </w:t>
      </w:r>
      <w:r>
        <w:rPr>
          <w:rFonts w:ascii="Arial" w:cs="Arial" w:eastAsia="Arial" w:hAnsi="Arial"/>
          <w:b/>
          <w:bCs/>
          <w:color w:val="1A1A2E"/>
          <w:sz w:val="26"/>
          <w:szCs w:val="26"/>
        </w:rPr>
        <w:t xml:space="preserve">The Oracle Layer — Price Streaming and Market Data</w:t>
      </w:r>
    </w:p>
    <w:p>
      <w:pPr>
        <w:spacing w:before="80" w:after="160" w:line="312"/>
      </w:pPr>
      <w:r>
        <w:rPr>
          <w:rFonts w:ascii="Georgia" w:cs="Georgia" w:eastAsia="Georgia" w:hAnsi="Georgia"/>
          <w:i/>
          <w:iCs/>
          <w:color w:val="2E4057"/>
          <w:sz w:val="22"/>
          <w:szCs w:val="22"/>
        </w:rPr>
        <w:t xml:space="preserve">The functor from the observable financial universe to the platform’s internal valuation state.</w:t>
      </w:r>
    </w:p>
    <w:p>
      <w:pPr>
        <w:spacing w:before="80" w:after="160" w:line="312"/>
      </w:pPr>
      <w:r>
        <w:rPr>
          <w:rFonts w:ascii="Georgia" w:cs="Georgia" w:eastAsia="Georgia" w:hAnsi="Georgia"/>
          <w:sz w:val="22"/>
          <w:szCs w:val="22"/>
        </w:rPr>
        <w:t xml:space="preserve">The Oracle Layer ingests, validates, timestamps, and distributes market data: equity prices, FX rates, yield curves, volatility surfaces, credit spreads, funding rates, crypto prices, and any other observable the pricing engine requires.</w:t>
      </w:r>
    </w:p>
    <w:p>
      <w:pPr>
        <w:spacing w:before="80" w:after="160" w:line="312"/>
      </w:pPr>
      <w:r>
        <w:rPr>
          <w:rFonts w:ascii="Georgia" w:cs="Georgia" w:eastAsia="Georgia" w:hAnsi="Georgia"/>
          <w:sz w:val="22"/>
          <w:szCs w:val="22"/>
        </w:rPr>
        <w:t xml:space="preserve">Every data point entering the Oracle Layer is wrapped in an </w:t>
      </w:r>
      <w:r>
        <w:rPr>
          <w:rFonts w:ascii="Georgia" w:cs="Georgia" w:eastAsia="Georgia" w:hAnsi="Georgia"/>
          <w:b/>
          <w:bCs/>
          <w:sz w:val="22"/>
          <w:szCs w:val="22"/>
        </w:rPr>
        <w:t xml:space="preserve">Attestation</w:t>
      </w:r>
      <w:r>
        <w:rPr>
          <w:rFonts w:ascii="Georgia" w:cs="Georgia" w:eastAsia="Georgia" w:hAnsi="Georgia"/>
          <w:sz w:val="22"/>
          <w:szCs w:val="22"/>
        </w:rPr>
        <w:t xml:space="preserve"> with a confidence class. A firm Attestation (an exchange trade print) enters as a point value. A quoted Attestation (a bid-ask pair) enters as a distribution whose width reflects the spread. The Oracle Layer never mutates a historical observation; it only appends new ones.</w:t>
      </w:r>
    </w:p>
    <w:p>
      <w:pPr>
        <w:spacing w:before="80" w:after="160" w:line="312"/>
      </w:pPr>
      <w:r>
        <w:rPr>
          <w:rFonts w:ascii="Georgia" w:cs="Georgia" w:eastAsia="Georgia" w:hAnsi="Georgia"/>
          <w:sz w:val="22"/>
          <w:szCs w:val="22"/>
        </w:rPr>
        <w:t xml:space="preserve">For </w:t>
      </w:r>
      <w:r>
        <w:rPr>
          <w:rFonts w:ascii="Georgia" w:cs="Georgia" w:eastAsia="Georgia" w:hAnsi="Georgia"/>
          <w:b/>
          <w:bCs/>
          <w:sz w:val="22"/>
          <w:szCs w:val="22"/>
        </w:rPr>
        <w:t xml:space="preserve">observable prices</w:t>
      </w:r>
      <w:r>
        <w:rPr>
          <w:rFonts w:ascii="Georgia" w:cs="Georgia" w:eastAsia="Georgia" w:hAnsi="Georgia"/>
          <w:sz w:val="22"/>
          <w:szCs w:val="22"/>
        </w:rPr>
        <w:t xml:space="preserve"> (exchange-traded equities, listed futures, spot FX, liquid crypto pairs), the Oracle Layer streams real-time feeds from exchanges and data vendors. For </w:t>
      </w:r>
      <w:r>
        <w:rPr>
          <w:rFonts w:ascii="Georgia" w:cs="Georgia" w:eastAsia="Georgia" w:hAnsi="Georgia"/>
          <w:b/>
          <w:bCs/>
          <w:sz w:val="22"/>
          <w:szCs w:val="22"/>
        </w:rPr>
        <w:t xml:space="preserve">derived observables</w:t>
      </w:r>
      <w:r>
        <w:rPr>
          <w:rFonts w:ascii="Georgia" w:cs="Georgia" w:eastAsia="Georgia" w:hAnsi="Georgia"/>
          <w:sz w:val="22"/>
          <w:szCs w:val="22"/>
        </w:rPr>
        <w:t xml:space="preserve"> (implied volatility surfaces, zero-coupon curves, credit curves), the Oracle Layer computes calibrated models from raw inputs and publishes the results as first-class Attestations with full provenance: the input Attestations used, the Model Configuration Attestation (kernel family, hyperparameters, calibration window), and the code version.</w:t>
      </w:r>
    </w:p>
    <w:p>
      <w:pPr>
        <w:spacing w:before="80" w:after="160" w:line="312"/>
      </w:pPr>
      <w:r>
        <w:rPr>
          <w:rFonts w:ascii="Georgia" w:cs="Georgia" w:eastAsia="Georgia" w:hAnsi="Georgia"/>
          <w:sz w:val="22"/>
          <w:szCs w:val="22"/>
        </w:rPr>
        <w:t xml:space="preserve">The calibration of derived observables follows a two-stage architecture. A </w:t>
      </w:r>
      <w:r>
        <w:rPr>
          <w:rFonts w:ascii="Georgia" w:cs="Georgia" w:eastAsia="Georgia" w:hAnsi="Georgia"/>
          <w:b/>
          <w:bCs/>
          <w:sz w:val="22"/>
          <w:szCs w:val="22"/>
        </w:rPr>
        <w:t xml:space="preserve">calibration batch</w:t>
      </w:r>
      <w:r>
        <w:rPr>
          <w:rFonts w:ascii="Georgia" w:cs="Georgia" w:eastAsia="Georgia" w:hAnsi="Georgia"/>
          <w:sz w:val="22"/>
          <w:szCs w:val="22"/>
        </w:rPr>
        <w:t xml:space="preserve"> runs periodically over a governed historical window (e.g., 90 trading days) to learn model hyperparameters — the structural knowledge of how curves and surfaces behave. A </w:t>
      </w:r>
      <w:r>
        <w:rPr>
          <w:rFonts w:ascii="Georgia" w:cs="Georgia" w:eastAsia="Georgia" w:hAnsi="Georgia"/>
          <w:b/>
          <w:bCs/>
          <w:sz w:val="22"/>
          <w:szCs w:val="22"/>
        </w:rPr>
        <w:t xml:space="preserve">real-time conditioning stage</w:t>
      </w:r>
      <w:r>
        <w:rPr>
          <w:rFonts w:ascii="Georgia" w:cs="Georgia" w:eastAsia="Georgia" w:hAnsi="Georgia"/>
          <w:sz w:val="22"/>
          <w:szCs w:val="22"/>
        </w:rPr>
        <w:t xml:space="preserve"> applies those calibrated parameters to a short recent window of Attestations (e.g., the last 5 trading days, consistent with the model’s temporal decay) to produce the current market state. As new Attestations stream in during the trading day, the conditioning stage updates sequentially, producing a progressively tighter market state as more tenors and strikes are observed. The implementation may use Gaussian process regression, Kalman filtering, or any method that produces a well-formed element of Giry(curve space) with the required provenance.</w:t>
      </w:r>
    </w:p>
    <w:p>
      <w:pPr>
        <w:spacing w:before="80" w:after="160" w:line="312"/>
      </w:pPr>
      <w:r>
        <w:rPr>
          <w:rFonts w:ascii="Georgia" w:cs="Georgia" w:eastAsia="Georgia" w:hAnsi="Georgia"/>
          <w:sz w:val="22"/>
          <w:szCs w:val="22"/>
        </w:rPr>
        <w:t xml:space="preserve">The Oracle Layer’s streaming architecture ensures that every consumer — the pricing engine, the risk engine, the ledger’s mark-to-market process — is working from the same, consistent, timestamped market state. There is no “which data did you use?” problem. The Attestation chain answers that question by construction.</w:t>
      </w:r>
    </w:p>
    <w:p>
      <w:pPr>
        <w:spacing w:before="360" w:after="60"/>
      </w:pPr>
      <w:r>
        <w:rPr>
          <w:rFonts w:ascii="Arial" w:cs="Arial" w:eastAsia="Arial" w:hAnsi="Arial"/>
          <w:color w:val="3A6EA5"/>
          <w:sz w:val="26"/>
          <w:szCs w:val="26"/>
        </w:rPr>
        <w:t xml:space="preserve">Ⅳ  </w:t>
      </w:r>
      <w:r>
        <w:rPr>
          <w:rFonts w:ascii="Arial" w:cs="Arial" w:eastAsia="Arial" w:hAnsi="Arial"/>
          <w:b/>
          <w:bCs/>
          <w:color w:val="1A1A2E"/>
          <w:sz w:val="26"/>
          <w:szCs w:val="26"/>
        </w:rPr>
        <w:t xml:space="preserve">The Ledger — Double-Entry Position Management</w:t>
      </w:r>
    </w:p>
    <w:p>
      <w:pPr>
        <w:spacing w:before="80" w:after="160" w:line="312"/>
      </w:pPr>
      <w:r>
        <w:rPr>
          <w:rFonts w:ascii="Georgia" w:cs="Georgia" w:eastAsia="Georgia" w:hAnsi="Georgia"/>
          <w:i/>
          <w:iCs/>
          <w:color w:val="2E4057"/>
          <w:sz w:val="22"/>
          <w:szCs w:val="22"/>
        </w:rPr>
        <w:t xml:space="preserve">An endofunctor on the category of account states, preserving the fundamental accounting identity.</w:t>
      </w:r>
    </w:p>
    <w:p>
      <w:pPr>
        <w:spacing w:before="80" w:after="160" w:line="312"/>
      </w:pPr>
      <w:r>
        <w:rPr>
          <w:rFonts w:ascii="Georgia" w:cs="Georgia" w:eastAsia="Georgia" w:hAnsi="Georgia"/>
          <w:sz w:val="22"/>
          <w:szCs w:val="22"/>
        </w:rPr>
        <w:t xml:space="preserve">The Ledger is the platform’s single source of positional truth. It implements a strict double-entry bookkeeping system: every economic event produces a balanced set of debits and credits across a chart of accounts that spans cash, securities, derivatives (at market value and notional), collateral, margin, accruals, and P&amp;L.</w:t>
      </w:r>
    </w:p>
    <w:p>
      <w:pPr>
        <w:spacing w:before="80" w:after="160" w:line="312"/>
      </w:pPr>
      <w:r>
        <w:rPr>
          <w:rFonts w:ascii="Georgia" w:cs="Georgia" w:eastAsia="Georgia" w:hAnsi="Georgia"/>
          <w:sz w:val="22"/>
          <w:szCs w:val="22"/>
        </w:rPr>
        <w:t xml:space="preserve">The Ledger is an </w:t>
      </w:r>
      <w:r>
        <w:rPr>
          <w:rFonts w:ascii="Georgia" w:cs="Georgia" w:eastAsia="Georgia" w:hAnsi="Georgia"/>
          <w:b/>
          <w:bCs/>
          <w:sz w:val="22"/>
          <w:szCs w:val="22"/>
        </w:rPr>
        <w:t xml:space="preserve">append-only, immutable, bitemporal data structure</w:t>
      </w:r>
      <w:r>
        <w:rPr>
          <w:rFonts w:ascii="Georgia" w:cs="Georgia" w:eastAsia="Georgia" w:hAnsi="Georgia"/>
          <w:sz w:val="22"/>
          <w:szCs w:val="22"/>
        </w:rPr>
        <w:t xml:space="preserve">. Entries are never modified or deleted; corrections are recorded as new entries that reference and reverse prior ones. The current state is the composition of all prior transitions — no state is ever destroyed, only superseded.</w:t>
      </w:r>
    </w:p>
    <w:p>
      <w:pPr>
        <w:spacing w:before="80" w:after="160" w:line="312"/>
      </w:pPr>
      <w:r>
        <w:rPr>
          <w:rFonts w:ascii="Georgia" w:cs="Georgia" w:eastAsia="Georgia" w:hAnsi="Georgia"/>
          <w:sz w:val="22"/>
          <w:szCs w:val="22"/>
        </w:rPr>
        <w:t xml:space="preserve">Position updates occur in </w:t>
      </w:r>
      <w:r>
        <w:rPr>
          <w:rFonts w:ascii="Georgia" w:cs="Georgia" w:eastAsia="Georgia" w:hAnsi="Georgia"/>
          <w:b/>
          <w:bCs/>
          <w:sz w:val="22"/>
          <w:szCs w:val="22"/>
        </w:rPr>
        <w:t xml:space="preserve">pseudo-real-time</w:t>
      </w:r>
      <w:r>
        <w:rPr>
          <w:rFonts w:ascii="Georgia" w:cs="Georgia" w:eastAsia="Georgia" w:hAnsi="Georgia"/>
          <w:sz w:val="22"/>
          <w:szCs w:val="22"/>
        </w:rPr>
        <w:t xml:space="preserve">: as execution reports, settlement confirmations, corporate action events, and margin calls arrive as Attestations from the Gateway and the Oracle Layer, the Ledger processes them through a deterministic state machine. The resulting positions, P&amp;L, and account balances are Verifiable Truths: given the same ordered sequence of Attestations, any observer will compute the same state.</w:t>
      </w:r>
    </w:p>
    <w:p>
      <w:pPr>
        <w:spacing w:before="80" w:after="160" w:line="312"/>
      </w:pPr>
      <w:r>
        <w:rPr>
          <w:rFonts w:ascii="Georgia" w:cs="Georgia" w:eastAsia="Georgia" w:hAnsi="Georgia"/>
          <w:sz w:val="22"/>
          <w:szCs w:val="22"/>
        </w:rPr>
        <w:t xml:space="preserve">The Ledger’s chart of accounts is designed as a natural isomorphism with the general ledger structure required by finance and regulatory reporting. Sub-ledger to general-ledger posting is a projection, not a transformation. This eliminates the reconciliation gap that plagues legacy architectures.</w:t>
      </w:r>
    </w:p>
    <w:p>
      <w:pPr>
        <w:spacing w:before="360" w:after="60"/>
      </w:pPr>
      <w:r>
        <w:rPr>
          <w:rFonts w:ascii="Arial" w:cs="Arial" w:eastAsia="Arial" w:hAnsi="Arial"/>
          <w:color w:val="3A6EA5"/>
          <w:sz w:val="26"/>
          <w:szCs w:val="26"/>
        </w:rPr>
        <w:t xml:space="preserve">Ⅴ  </w:t>
      </w:r>
      <w:r>
        <w:rPr>
          <w:rFonts w:ascii="Arial" w:cs="Arial" w:eastAsia="Arial" w:hAnsi="Arial"/>
          <w:b/>
          <w:bCs/>
          <w:color w:val="1A1A2E"/>
          <w:sz w:val="26"/>
          <w:szCs w:val="26"/>
        </w:rPr>
        <w:t xml:space="preserve">The Pricing and Risk Engine — Theoretical Valuation and Sensitivity</w:t>
      </w:r>
    </w:p>
    <w:p>
      <w:pPr>
        <w:spacing w:before="80" w:after="160" w:line="312"/>
      </w:pPr>
      <w:r>
        <w:rPr>
          <w:rFonts w:ascii="Georgia" w:cs="Georgia" w:eastAsia="Georgia" w:hAnsi="Georgia"/>
          <w:i/>
          <w:iCs/>
          <w:color w:val="2E4057"/>
          <w:sz w:val="22"/>
          <w:szCs w:val="22"/>
        </w:rPr>
        <w:t xml:space="preserve">The functor from (instrument state × market state) to the valuation and risk category.</w:t>
      </w:r>
    </w:p>
    <w:p>
      <w:pPr>
        <w:spacing w:before="80" w:after="160" w:line="312"/>
      </w:pPr>
      <w:r>
        <w:rPr>
          <w:rFonts w:ascii="Georgia" w:cs="Georgia" w:eastAsia="Georgia" w:hAnsi="Georgia"/>
          <w:sz w:val="22"/>
          <w:szCs w:val="22"/>
        </w:rPr>
        <w:t xml:space="preserve">The Pricing Engine consumes two inputs: the instrument model (from Pillar II) and the market state (from Pillar III, the Oracle Layer). It produces theoretical prices, fair values, and a complete set of risk sensitivities (Greeks, scenario P&amp;L, VaR, stress tests) for every position in the book.</w:t>
      </w:r>
    </w:p>
    <w:p>
      <w:pPr>
        <w:spacing w:before="80" w:after="160" w:line="312"/>
      </w:pPr>
      <w:r>
        <w:rPr>
          <w:rFonts w:ascii="Georgia" w:cs="Georgia" w:eastAsia="Georgia" w:hAnsi="Georgia"/>
          <w:sz w:val="22"/>
          <w:szCs w:val="22"/>
        </w:rPr>
        <w:t xml:space="preserve">For instruments with observable market prices (exchange-traded equities, liquid bonds, listed options with tight spreads), the Pricing Engine records the Oracle’s Attestation directly and computes risk sensitivities from the observed price. For instruments without a liquid observable (OTC derivatives, structured products, illiquid bonds), the Engine applies calibrated models whose parameters are themselves derived from Oracle Attestations.</w:t>
      </w:r>
    </w:p>
    <w:p>
      <w:pPr>
        <w:spacing w:before="80" w:after="160" w:line="312"/>
      </w:pPr>
      <w:r>
        <w:rPr>
          <w:rFonts w:ascii="Georgia" w:cs="Georgia" w:eastAsia="Georgia" w:hAnsi="Georgia"/>
          <w:sz w:val="22"/>
          <w:szCs w:val="22"/>
        </w:rPr>
        <w:t xml:space="preserve">Every valuation is a </w:t>
      </w:r>
      <w:r>
        <w:rPr>
          <w:rFonts w:ascii="Georgia" w:cs="Georgia" w:eastAsia="Georgia" w:hAnsi="Georgia"/>
          <w:b/>
          <w:bCs/>
          <w:sz w:val="22"/>
          <w:szCs w:val="22"/>
        </w:rPr>
        <w:t xml:space="preserve">Verifiable Truth</w:t>
      </w:r>
      <w:r>
        <w:rPr>
          <w:rFonts w:ascii="Georgia" w:cs="Georgia" w:eastAsia="Georgia" w:hAnsi="Georgia"/>
          <w:sz w:val="22"/>
          <w:szCs w:val="22"/>
        </w:rPr>
        <w:t xml:space="preserve">: it is fully determined by the instrument’s state, the market data snapshot (Attestations from the Oracle Layer), and the model configuration (a versioned, immutable Model Configuration Attestation). Changing any input produces a new valuation; no valuation is ever overwritten.</w:t>
      </w:r>
    </w:p>
    <w:p>
      <w:pPr>
        <w:spacing w:before="80" w:after="160" w:line="312"/>
      </w:pPr>
      <w:r>
        <w:rPr>
          <w:rFonts w:ascii="Georgia" w:cs="Georgia" w:eastAsia="Georgia" w:hAnsi="Georgia"/>
          <w:sz w:val="22"/>
          <w:szCs w:val="22"/>
        </w:rPr>
        <w:t xml:space="preserve">When the Oracle Layer provides a distributional market state (a yield curve with pointwise uncertainty, a volatility surface with calibration confidence intervals), the Pricing Engine propagates that uncertainty through the valuation morphism via the Giry monad. The output is not a single price but a distribution over prices — an honest statement of what the platform knows and what it does not know, conditional on the Attestation set. The implementation uses a stratified approximation hierarchy: delta-normal for real-time (means and covariances, milliseconds), Monte Carlo for nonlinear positions (full distributional tails, seconds), and nested simulation for model risk reporting (uncertainty over model configurations, batch).</w:t>
      </w:r>
    </w:p>
    <w:p>
      <w:pPr>
        <w:spacing w:before="80" w:after="160" w:line="312"/>
      </w:pPr>
      <w:r>
        <w:rPr>
          <w:rFonts w:ascii="Georgia" w:cs="Georgia" w:eastAsia="Georgia" w:hAnsi="Georgia"/>
          <w:sz w:val="22"/>
          <w:szCs w:val="22"/>
        </w:rPr>
        <w:t xml:space="preserve">The Risk Engine extends the Pricing Engine by applying perturbations to the market state and instrument parameters. Greeks are computed as the derivatives of the valuation functor with respect to its market-state input. Scenario analysis applies finite perturbations (shifts, twists, stress events) to the market state and evaluates the resulting change in the portfolio’s valuation.</w:t>
      </w:r>
    </w:p>
    <w:p>
      <w:pPr>
        <w:spacing w:before="80" w:after="160" w:line="312"/>
      </w:pPr>
      <w:r>
        <w:rPr>
          <w:rFonts w:ascii="Georgia" w:cs="Georgia" w:eastAsia="Georgia" w:hAnsi="Georgia"/>
          <w:sz w:val="22"/>
          <w:szCs w:val="22"/>
        </w:rPr>
        <w:t xml:space="preserve">Model governance is first-class: every model is versioned, every calibration is logged as a Model Configuration Attestation, and the Engine can replay any historical valuation with any historical model version. This is Principle III (Temporal Integrity) applied to the valuation domain.</w:t>
      </w:r>
    </w:p>
    <w:p>
      <w:pPr>
        <w:pStyle w:val="Heading1"/>
      </w:pPr>
      <w:r>
        <w:t xml:space="preserve">Constraints</w:t>
      </w:r>
    </w:p>
    <w:p>
      <w:pPr>
        <w:pStyle w:val="ListParagraph"/>
        <w:numPr>
          <w:ilvl w:val="0"/>
          <w:numId w:val="2"/>
        </w:numPr>
        <w:spacing w:before="120" w:after="120" w:line="312"/>
      </w:pPr>
      <w:r>
        <w:rPr>
          <w:rFonts w:ascii="Georgia" w:cs="Georgia" w:eastAsia="Georgia" w:hAnsi="Georgia"/>
          <w:b/>
          <w:bCs/>
          <w:sz w:val="22"/>
          <w:szCs w:val="22"/>
        </w:rPr>
        <w:t xml:space="preserve">No vendor product selection. </w:t>
      </w:r>
      <w:r>
        <w:rPr>
          <w:rFonts w:ascii="Georgia" w:cs="Georgia" w:eastAsia="Georgia" w:hAnsi="Georgia"/>
          <w:sz w:val="22"/>
          <w:szCs w:val="22"/>
        </w:rPr>
        <w:t xml:space="preserve">This is not the purchase and customisation of an off-the-shelf system. Off-the-shelf products encode their own compromises and become the new legacy.</w:t>
      </w:r>
    </w:p>
    <w:p>
      <w:pPr>
        <w:pStyle w:val="ListParagraph"/>
        <w:numPr>
          <w:ilvl w:val="0"/>
          <w:numId w:val="2"/>
        </w:numPr>
        <w:spacing w:before="120" w:after="120" w:line="312"/>
      </w:pPr>
      <w:r>
        <w:rPr>
          <w:rFonts w:ascii="Georgia" w:cs="Georgia" w:eastAsia="Georgia" w:hAnsi="Georgia"/>
          <w:b/>
          <w:bCs/>
          <w:sz w:val="22"/>
          <w:szCs w:val="22"/>
        </w:rPr>
        <w:t xml:space="preserve">No integration middleware. </w:t>
      </w:r>
      <w:r>
        <w:rPr>
          <w:rFonts w:ascii="Georgia" w:cs="Georgia" w:eastAsia="Georgia" w:hAnsi="Georgia"/>
          <w:sz w:val="22"/>
          <w:szCs w:val="22"/>
        </w:rPr>
        <w:t xml:space="preserve">We are not papering over cracks between existing systems. Integration layers add latency, obscure lineage, and create shadow state.</w:t>
      </w:r>
    </w:p>
    <w:p>
      <w:pPr>
        <w:pStyle w:val="ListParagraph"/>
        <w:numPr>
          <w:ilvl w:val="0"/>
          <w:numId w:val="2"/>
        </w:numPr>
        <w:spacing w:before="120" w:after="120" w:line="312"/>
      </w:pPr>
      <w:r>
        <w:rPr>
          <w:rFonts w:ascii="Georgia" w:cs="Georgia" w:eastAsia="Georgia" w:hAnsi="Georgia"/>
          <w:b/>
          <w:bCs/>
          <w:sz w:val="22"/>
          <w:szCs w:val="22"/>
        </w:rPr>
        <w:t xml:space="preserve">No value deferred to completion. </w:t>
      </w:r>
      <w:r>
        <w:rPr>
          <w:rFonts w:ascii="Georgia" w:cs="Georgia" w:eastAsia="Georgia" w:hAnsi="Georgia"/>
          <w:sz w:val="22"/>
          <w:szCs w:val="22"/>
        </w:rPr>
        <w:t xml:space="preserve">Every phase must deliver measurable improvement in operational quality, regulatory compliance, or client capability.</w:t>
      </w:r>
    </w:p>
    <w:p>
      <w:pPr>
        <w:pStyle w:val="ListParagraph"/>
        <w:numPr>
          <w:ilvl w:val="0"/>
          <w:numId w:val="2"/>
        </w:numPr>
        <w:spacing w:before="120" w:after="120" w:line="312"/>
      </w:pPr>
      <w:r>
        <w:rPr>
          <w:rFonts w:ascii="Georgia" w:cs="Georgia" w:eastAsia="Georgia" w:hAnsi="Georgia"/>
          <w:b/>
          <w:bCs/>
          <w:sz w:val="22"/>
          <w:szCs w:val="22"/>
        </w:rPr>
        <w:t xml:space="preserve">Reproducibility is non-optional. </w:t>
      </w:r>
      <w:r>
        <w:rPr>
          <w:rFonts w:ascii="Georgia" w:cs="Georgia" w:eastAsia="Georgia" w:hAnsi="Georgia"/>
          <w:sz w:val="22"/>
          <w:szCs w:val="22"/>
        </w:rPr>
        <w:t xml:space="preserve">Any historical valuation or risk run must be exactly reproducible given its version vector: trade state, market data Attestations, Model Configuration Attestation, regulatory rule set. Reproducibility is the operational test of Verifiable Truth.</w:t>
      </w:r>
    </w:p>
    <w:p>
      <w:pPr>
        <w:pStyle w:val="ListParagraph"/>
        <w:numPr>
          <w:ilvl w:val="0"/>
          <w:numId w:val="2"/>
        </w:numPr>
        <w:spacing w:before="120" w:after="120" w:line="312"/>
      </w:pPr>
      <w:r>
        <w:rPr>
          <w:rFonts w:ascii="Georgia" w:cs="Georgia" w:eastAsia="Georgia" w:hAnsi="Georgia"/>
          <w:b/>
          <w:bCs/>
          <w:sz w:val="22"/>
          <w:szCs w:val="22"/>
        </w:rPr>
        <w:t xml:space="preserve">All state is derivable from Attestations. </w:t>
      </w:r>
      <w:r>
        <w:rPr>
          <w:rFonts w:ascii="Georgia" w:cs="Georgia" w:eastAsia="Georgia" w:hAnsi="Georgia"/>
          <w:sz w:val="22"/>
          <w:szCs w:val="22"/>
        </w:rPr>
        <w:t xml:space="preserve">The platform must be able to rebuild any state — positions, valuations, risk metrics, P&amp;L — solely from its ordered log of Attestations and the versioned code that processes them. If state cannot be derived from verifiable inputs, it does not belong in the platform.</w:t>
      </w:r>
    </w:p>
    <w:p>
      <w:pPr>
        <w:pStyle w:val="ListParagraph"/>
        <w:numPr>
          <w:ilvl w:val="0"/>
          <w:numId w:val="2"/>
        </w:numPr>
        <w:spacing w:before="120" w:after="120" w:line="312"/>
      </w:pPr>
      <w:r>
        <w:rPr>
          <w:rFonts w:ascii="Georgia" w:cs="Georgia" w:eastAsia="Georgia" w:hAnsi="Georgia"/>
          <w:b/>
          <w:bCs/>
          <w:sz w:val="22"/>
          <w:szCs w:val="22"/>
        </w:rPr>
        <w:t xml:space="preserve">Simulation, what-if, and stress are first-class operations, not afterthoughts. </w:t>
      </w:r>
      <w:r>
        <w:rPr>
          <w:rFonts w:ascii="Georgia" w:cs="Georgia" w:eastAsia="Georgia" w:hAnsi="Georgia"/>
          <w:sz w:val="22"/>
          <w:szCs w:val="22"/>
        </w:rPr>
        <w:t xml:space="preserve">Because all state is derived from Attestations through deterministic morphisms, a simulation is nothing more than the substitution of one Attestation stream for another. Asking “what if the Fed raised rates by 200 basis points last Tuesday?” is expressed by forking the Oracle Layer’s Attestation log at that timestamp, injecting a synthetic Attestation with the stressed rate, and replaying the downstream functors — Ledger, Pricing Engine, Risk Engine — unchanged. No special “simulation mode” exists; the production code path is the simulation code path, evaluated over a counterfactual Attestation history. Stress scenarios, historical replays, and backtests are natural consequences of the architecture, not features bolted on top of it. If a scenario cannot be expressed as a substitution of Attestations, the architecture has a defect.</w:t>
      </w:r>
    </w:p>
    <w:p>
      <w:pPr>
        <w:pStyle w:val="ListParagraph"/>
        <w:numPr>
          <w:ilvl w:val="0"/>
          <w:numId w:val="2"/>
        </w:numPr>
        <w:spacing w:before="120" w:after="120" w:line="312"/>
      </w:pPr>
      <w:r>
        <w:rPr>
          <w:rFonts w:ascii="Georgia" w:cs="Georgia" w:eastAsia="Georgia" w:hAnsi="Georgia"/>
          <w:b/>
          <w:bCs/>
          <w:sz w:val="22"/>
          <w:szCs w:val="22"/>
        </w:rPr>
        <w:t xml:space="preserve">The architecture is the specification; the implementations are delegated. </w:t>
      </w:r>
      <w:r>
        <w:rPr>
          <w:rFonts w:ascii="Georgia" w:cs="Georgia" w:eastAsia="Georgia" w:hAnsi="Georgia"/>
          <w:sz w:val="22"/>
          <w:szCs w:val="22"/>
        </w:rPr>
        <w:t xml:space="preserve">The categorical framework — the Giry monad, the commutative diagrams, the Attestation provenance chain — defines the interfaces between components with mathematical precision. The implementation within each component is free: a team may use a Gaussian process, a Kalman filter, a spline, a neural network, or any other method to produce a yield curve, provided the output is a well-formed element of the specified type with the required provenance. The framework does not add computational cost; it adds correctness guarantees to the compositions. Without it, you get an archipelago of locally correct systems that do not compose. With it, you get a platform.</w:t>
      </w:r>
    </w:p>
    <w:p>
      <w:pPr>
        <w:pStyle w:val="Heading1"/>
      </w:pPr>
      <w:r>
        <w:t xml:space="preserve">The Correctness Guarantee</w:t>
      </w:r>
    </w:p>
    <w:p>
      <w:pPr>
        <w:spacing w:before="80" w:after="160" w:line="312"/>
      </w:pPr>
      <w:r>
        <w:rPr>
          <w:rFonts w:ascii="Georgia" w:cs="Georgia" w:eastAsia="Georgia" w:hAnsi="Georgia"/>
          <w:sz w:val="22"/>
          <w:szCs w:val="22"/>
        </w:rPr>
        <w:t xml:space="preserve">The platform’s architecture is expressed as a system of commutative diagrams. The central claim is:</w:t>
      </w:r>
    </w:p>
    <w:p>
      <w:pPr>
        <w:spacing w:before="80" w:after="160" w:line="312"/>
      </w:pPr>
      <w:r>
        <w:rPr>
          <w:rFonts w:ascii="Georgia" w:cs="Georgia" w:eastAsia="Georgia" w:hAnsi="Georgia"/>
          <w:i/>
          <w:iCs/>
          <w:color w:val="2E4057"/>
          <w:sz w:val="22"/>
          <w:szCs w:val="22"/>
        </w:rPr>
        <w:t xml:space="preserve">For any trade, at any point in time, the path from Oracle Attestations through the Instrument Model, the Ledger, and the Pricing Engine to any reported figure (position, P&amp;L, risk metric, regulatory report) yields the same result regardless of which intermediate representations are traversed. When Attestations carry uncertainty, this commutativity holds in distribution: all paths produce the same posterior. This is the platform’s correctness invariant.</w:t>
      </w:r>
    </w:p>
    <w:p>
      <w:pPr>
        <w:spacing w:before="80" w:after="160" w:line="312"/>
      </w:pPr>
      <w:r>
        <w:rPr>
          <w:rFonts w:ascii="Georgia" w:cs="Georgia" w:eastAsia="Georgia" w:hAnsi="Georgia"/>
          <w:sz w:val="22"/>
          <w:szCs w:val="22"/>
        </w:rPr>
        <w:t xml:space="preserve">This is not aspirational. It is a testable, enforceable property. The platform’s continuous integration pipeline includes commutativity checks: synthetic trades are pushed through every path in the diagram, and the outputs are compared. A failure to commute is a build-breaking defect.</w:t>
      </w:r>
    </w:p>
    <w:p>
      <w:pPr>
        <w:pStyle w:val="Heading1"/>
      </w:pPr>
      <w:r>
        <w:t xml:space="preserve">Delegation</w:t>
      </w:r>
    </w:p>
    <w:p>
      <w:pPr>
        <w:spacing w:before="80" w:after="160" w:line="312"/>
      </w:pPr>
      <w:r>
        <w:rPr>
          <w:rFonts w:ascii="Georgia" w:cs="Georgia" w:eastAsia="Georgia" w:hAnsi="Georgia"/>
          <w:sz w:val="22"/>
          <w:szCs w:val="22"/>
        </w:rPr>
        <w:t xml:space="preserve">The design, architecture, technology selection, phasing, and delivery plan are delegated to the agent committee. This manifesto defines </w:t>
      </w:r>
      <w:r>
        <w:rPr>
          <w:rFonts w:ascii="Georgia" w:cs="Georgia" w:eastAsia="Georgia" w:hAnsi="Georgia"/>
          <w:b/>
          <w:bCs/>
          <w:sz w:val="22"/>
          <w:szCs w:val="22"/>
        </w:rPr>
        <w:t xml:space="preserve">what</w:t>
      </w:r>
      <w:r>
        <w:rPr>
          <w:rFonts w:ascii="Georgia" w:cs="Georgia" w:eastAsia="Georgia" w:hAnsi="Georgia"/>
          <w:sz w:val="22"/>
          <w:szCs w:val="22"/>
        </w:rPr>
        <w:t xml:space="preserve"> and </w:t>
      </w:r>
      <w:r>
        <w:rPr>
          <w:rFonts w:ascii="Georgia" w:cs="Georgia" w:eastAsia="Georgia" w:hAnsi="Georgia"/>
          <w:b/>
          <w:bCs/>
          <w:sz w:val="22"/>
          <w:szCs w:val="22"/>
        </w:rPr>
        <w:t xml:space="preserve">why</w:t>
      </w:r>
      <w:r>
        <w:rPr>
          <w:rFonts w:ascii="Georgia" w:cs="Georgia" w:eastAsia="Georgia" w:hAnsi="Georgia"/>
          <w:sz w:val="22"/>
          <w:szCs w:val="22"/>
        </w:rPr>
        <w:t xml:space="preserve">. The committee owns </w:t>
      </w:r>
      <w:r>
        <w:rPr>
          <w:rFonts w:ascii="Georgia" w:cs="Georgia" w:eastAsia="Georgia" w:hAnsi="Georgia"/>
          <w:b/>
          <w:bCs/>
          <w:sz w:val="22"/>
          <w:szCs w:val="22"/>
        </w:rPr>
        <w:t xml:space="preserve">how</w:t>
      </w:r>
      <w:r>
        <w:rPr>
          <w:rFonts w:ascii="Georgia" w:cs="Georgia" w:eastAsia="Georgia" w:hAnsi="Georgia"/>
          <w:sz w:val="22"/>
          <w:szCs w:val="22"/>
        </w:rPr>
        <w:t xml:space="preserve">.</w:t>
      </w:r>
    </w:p>
    <w:p>
      <w:pPr>
        <w:spacing w:before="80" w:after="160" w:line="312"/>
      </w:pPr>
      <w:r>
        <w:rPr>
          <w:rFonts w:ascii="Georgia" w:cs="Georgia" w:eastAsia="Georgia" w:hAnsi="Georgia"/>
          <w:sz w:val="22"/>
          <w:szCs w:val="22"/>
        </w:rPr>
        <w:t xml:space="preserve">The committee is expected to produce a detailed plan that honours these principles, covers the full product and lifecycle scope, and is executable in phases — each phase delivering production-ready, fully-reported capability for its product scope.</w:t>
      </w:r>
    </w:p>
    <w:p>
      <w:pPr>
        <w:spacing w:before="80" w:after="160" w:line="312"/>
      </w:pPr>
      <w:r>
        <w:rPr>
          <w:rFonts w:ascii="Georgia" w:cs="Georgia" w:eastAsia="Georgia" w:hAnsi="Georgia"/>
          <w:sz w:val="22"/>
          <w:szCs w:val="22"/>
        </w:rPr>
        <w:t xml:space="preserve">The committee’s plan must demonstrate, for each phase, that the correctness invariant (commutativity of the pillar diagram) holds for the product scope in that phase. No phase ships without this proof.</w:t>
      </w:r>
    </w:p>
    <w:p>
      <w:pPr>
        <w:pBdr>
          <w:bottom w:val="single" w:color="B0C4D8" w:sz="4" w:space="1"/>
        </w:pBdr>
        <w:spacing w:before="200" w:after="200"/>
      </w:pPr>
    </w:p>
    <w:p>
      <w:pPr>
        <w:spacing w:before="480"/>
        <w:jc w:val="center"/>
      </w:pPr>
      <w:r>
        <w:rPr>
          <w:rFonts w:ascii="Arial" w:cs="Arial" w:eastAsia="Arial" w:hAnsi="Arial"/>
          <w:i/>
          <w:iCs/>
          <w:color w:val="5A7D9A"/>
          <w:sz w:val="20"/>
          <w:szCs w:val="20"/>
        </w:rPr>
        <w:t xml:space="preserve">End of Manifesto</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A7D9A"/>
        <w:sz w:val="16"/>
        <w:szCs w:val="16"/>
      </w:rPr>
      <w:t xml:space="preserve">Page </w:t>
    </w:r>
    <w:r>
      <w:rPr>
        <w:rFonts w:ascii="Arial" w:cs="Arial" w:eastAsia="Arial" w:hAnsi="Arial"/>
        <w:color w:val="5A7D9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0C4D8" w:sz="2" w:space="4"/>
      </w:pBdr>
      <w:tabs>
        <w:tab w:val="right" w:pos="9026"/>
      </w:tabs>
    </w:pPr>
    <w:r>
      <w:rPr>
        <w:rFonts w:ascii="Arial" w:cs="Arial" w:eastAsia="Arial" w:hAnsi="Arial"/>
        <w:color w:val="5A7D9A"/>
        <w:sz w:val="16"/>
        <w:szCs w:val="16"/>
      </w:rPr>
      <w:t xml:space="preserve">ATTESTOR</w:t>
    </w:r>
    <w:r>
      <w:rPr>
        <w:rFonts w:ascii="Arial" w:cs="Arial" w:eastAsia="Arial" w:hAnsi="Arial"/>
        <w:i/>
        <w:iCs/>
        <w:color w:val="5A7D9A"/>
        <w:sz w:val="16"/>
        <w:szCs w:val="16"/>
      </w:rPr>
      <w:t xml:space="preserve">	Founding Manifesto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1A1A2E"/>
      <w:sz w:val="40"/>
      <w:szCs w:val="40"/>
    </w:rPr>
  </w:style>
  <w:style w:type="paragraph" w:styleId="Heading2">
    <w:name w:val="Heading 2"/>
    <w:basedOn w:val="Normal"/>
    <w:next w:val="Normal"/>
    <w:qFormat/>
    <w:pPr>
      <w:spacing w:before="360" w:after="180"/>
      <w:outlineLvl w:val="1"/>
    </w:pPr>
    <w:rPr>
      <w:rFonts w:ascii="Arial" w:cs="Arial" w:eastAsia="Arial" w:hAnsi="Arial"/>
      <w:b/>
      <w:bCs/>
      <w:color w:val="2E4057"/>
      <w:sz w:val="30"/>
      <w:szCs w:val="30"/>
    </w:rPr>
  </w:style>
  <w:style w:type="paragraph" w:styleId="Heading3">
    <w:name w:val="Heading 3"/>
    <w:basedOn w:val="Normal"/>
    <w:next w:val="Normal"/>
    <w:qFormat/>
    <w:pPr>
      <w:spacing w:before="240" w:after="120"/>
      <w:outlineLvl w:val="2"/>
    </w:pPr>
    <w:rPr>
      <w:rFonts w:ascii="Arial" w:cs="Arial" w:eastAsia="Arial" w:hAnsi="Arial"/>
      <w:b/>
      <w:bCs/>
      <w:color w:val="3A6EA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2026-02-15T09:09:43.064Z</dcterms:created>
  <dcterms:modified xsi:type="dcterms:W3CDTF">2026-02-15T09:09:43.065Z</dcterms:modified>
</cp:coreProperties>
</file>

<file path=docProps/custom.xml><?xml version="1.0" encoding="utf-8"?>
<Properties xmlns="http://schemas.openxmlformats.org/officeDocument/2006/custom-properties" xmlns:vt="http://schemas.openxmlformats.org/officeDocument/2006/docPropsVTypes"/>
</file>