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3864"/>
          <w:sz w:val="44"/>
          <w:szCs w:val="44"/>
        </w:rPr>
        <w:t xml:space="preserve">APPLIIFY</w:t>
      </w:r>
    </w:p>
    <w:p>
      <w:pPr>
        <w:spacing w:after="300"/>
        <w:jc w:val="center"/>
      </w:pPr>
      <w:r>
        <w:rPr>
          <w:i/>
          <w:iCs/>
          <w:sz w:val="26"/>
          <w:szCs w:val="26"/>
        </w:rPr>
        <w:t xml:space="preserve">In-App Growth &amp; Conversion Platform for E-commerce Merchants</w:t>
      </w:r>
    </w:p>
    <w:p>
      <w:pPr>
        <w:spacing w:after="200"/>
        <w:jc w:val="center"/>
      </w:pPr>
      <w:r>
        <w:rPr>
          <w:b/>
          <w:bCs/>
          <w:sz w:val="30"/>
          <w:szCs w:val="30"/>
        </w:rPr>
        <w:t xml:space="preserve">BUSINESS REQUIREMENTS DOCUMENT</w:t>
      </w:r>
    </w:p>
    <w:p>
      <w:pPr>
        <w:jc w:val="center"/>
      </w:pPr>
      <w:r>
        <w:rPr>
          <w:sz w:val="22"/>
          <w:szCs w:val="22"/>
        </w:rPr>
        <w:t xml:space="preserve">Document Version 1.1 | Confidential</w:t>
      </w:r>
    </w:p>
    <w:p>
      <w:pPr>
        <w:spacing w:after="400"/>
        <w:jc w:val="center"/>
      </w:pPr>
      <w:r>
        <w:rPr>
          <w:b/>
          <w:bCs/>
          <w:sz w:val="22"/>
          <w:szCs w:val="22"/>
        </w:rPr>
        <w:t xml:space="preserve">September 2026 — Revised: Multi-Platform Strategy &amp; Early Revenue Attribution</w:t>
      </w:r>
    </w:p>
    <w:p>
      <w:pPr>
        <w:pStyle w:val="Heading2"/>
        <w:spacing w:after="150" w:before="300"/>
      </w:pPr>
      <w:r>
        <w:t xml:space="preserve">Document Control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rPr>
          <w:tblHeader/>
        </w:trPr>
        <w:tc>
          <w:tcPr>
            <w:tcW w:type="dxa" w:w="2500"/>
            <w:shd w:fill="1F3864" w:val="clear"/>
            <w:vAlign w:val="center"/>
          </w:tcPr>
          <w:p>
            <w:r>
              <w:rPr>
                <w:b/>
                <w:bCs/>
                <w:color w:val="FFFFFF"/>
                <w:sz w:val="20"/>
                <w:szCs w:val="20"/>
              </w:rPr>
              <w:t xml:space="preserve">Field</w:t>
            </w:r>
          </w:p>
        </w:tc>
        <w:tc>
          <w:tcPr>
            <w:tcW w:type="dxa" w:w="7500"/>
            <w:shd w:fill="1F3864" w:val="clear"/>
            <w:vAlign w:val="center"/>
          </w:tcPr>
          <w:p>
            <w:r>
              <w:rPr>
                <w:b/>
                <w:bCs/>
                <w:color w:val="FFFFFF"/>
                <w:sz w:val="20"/>
                <w:szCs w:val="20"/>
              </w:rPr>
              <w:t xml:space="preserve">Details</w:t>
            </w:r>
          </w:p>
        </w:tc>
      </w:tr>
      <w:tr>
        <w:tc>
          <w:tcPr>
            <w:tcW w:type="dxa" w:w="2500"/>
            <w:vAlign w:val="center"/>
          </w:tcPr>
          <w:p>
            <w:r>
              <w:rPr>
                <w:b w:val="false"/>
                <w:bCs w:val="false"/>
                <w:sz w:val="20"/>
                <w:szCs w:val="20"/>
              </w:rPr>
              <w:t xml:space="preserve">Document Title</w:t>
            </w:r>
          </w:p>
        </w:tc>
        <w:tc>
          <w:tcPr>
            <w:tcW w:type="dxa" w:w="7500"/>
            <w:vAlign w:val="center"/>
          </w:tcPr>
          <w:p>
            <w:r>
              <w:rPr>
                <w:b w:val="false"/>
                <w:bCs w:val="false"/>
                <w:sz w:val="20"/>
                <w:szCs w:val="20"/>
              </w:rPr>
              <w:t xml:space="preserve">Business Requirements Document — Appliify</w:t>
            </w:r>
          </w:p>
        </w:tc>
      </w:tr>
      <w:tr>
        <w:tc>
          <w:tcPr>
            <w:tcW w:type="dxa" w:w="2500"/>
            <w:shd w:fill="F2F2F2" w:val="clear"/>
            <w:vAlign w:val="center"/>
          </w:tcPr>
          <w:p>
            <w:r>
              <w:rPr>
                <w:b w:val="false"/>
                <w:bCs w:val="false"/>
                <w:sz w:val="20"/>
                <w:szCs w:val="20"/>
              </w:rPr>
              <w:t xml:space="preserve">Document Type</w:t>
            </w:r>
          </w:p>
        </w:tc>
        <w:tc>
          <w:tcPr>
            <w:tcW w:type="dxa" w:w="7500"/>
            <w:shd w:fill="F2F2F2" w:val="clear"/>
            <w:vAlign w:val="center"/>
          </w:tcPr>
          <w:p>
            <w:r>
              <w:rPr>
                <w:b w:val="false"/>
                <w:bCs w:val="false"/>
                <w:sz w:val="20"/>
                <w:szCs w:val="20"/>
              </w:rPr>
              <w:t xml:space="preserve">BRD (Business Requirements Document)</w:t>
            </w:r>
          </w:p>
        </w:tc>
      </w:tr>
      <w:tr>
        <w:tc>
          <w:tcPr>
            <w:tcW w:type="dxa" w:w="2500"/>
            <w:vAlign w:val="center"/>
          </w:tcPr>
          <w:p>
            <w:r>
              <w:rPr>
                <w:b w:val="false"/>
                <w:bCs w:val="false"/>
                <w:sz w:val="20"/>
                <w:szCs w:val="20"/>
              </w:rPr>
              <w:t xml:space="preserve">Version</w:t>
            </w:r>
          </w:p>
        </w:tc>
        <w:tc>
          <w:tcPr>
            <w:tcW w:type="dxa" w:w="7500"/>
            <w:vAlign w:val="center"/>
          </w:tcPr>
          <w:p>
            <w:r>
              <w:rPr>
                <w:b w:val="false"/>
                <w:bCs w:val="false"/>
                <w:sz w:val="20"/>
                <w:szCs w:val="20"/>
              </w:rPr>
              <w:t xml:space="preserve">1.1</w:t>
            </w:r>
          </w:p>
        </w:tc>
      </w:tr>
      <w:tr>
        <w:tc>
          <w:tcPr>
            <w:tcW w:type="dxa" w:w="2500"/>
            <w:shd w:fill="F2F2F2" w:val="clear"/>
            <w:vAlign w:val="center"/>
          </w:tcPr>
          <w:p>
            <w:r>
              <w:rPr>
                <w:b w:val="false"/>
                <w:bCs w:val="false"/>
                <w:sz w:val="20"/>
                <w:szCs w:val="20"/>
              </w:rPr>
              <w:t xml:space="preserve">Status</w:t>
            </w:r>
          </w:p>
        </w:tc>
        <w:tc>
          <w:tcPr>
            <w:tcW w:type="dxa" w:w="7500"/>
            <w:shd w:fill="F2F2F2" w:val="clear"/>
            <w:vAlign w:val="center"/>
          </w:tcPr>
          <w:p>
            <w:r>
              <w:rPr>
                <w:b w:val="false"/>
                <w:bCs w:val="false"/>
                <w:sz w:val="20"/>
                <w:szCs w:val="20"/>
              </w:rPr>
              <w:t xml:space="preserve">Draft — Revised for Stakeholder Review</w:t>
            </w:r>
          </w:p>
        </w:tc>
      </w:tr>
      <w:tr>
        <w:tc>
          <w:tcPr>
            <w:tcW w:type="dxa" w:w="2500"/>
            <w:vAlign w:val="center"/>
          </w:tcPr>
          <w:p>
            <w:r>
              <w:rPr>
                <w:b w:val="false"/>
                <w:bCs w:val="false"/>
                <w:sz w:val="20"/>
                <w:szCs w:val="20"/>
              </w:rPr>
              <w:t xml:space="preserve">Product Owner</w:t>
            </w:r>
          </w:p>
        </w:tc>
        <w:tc>
          <w:tcPr>
            <w:tcW w:type="dxa" w:w="7500"/>
            <w:vAlign w:val="center"/>
          </w:tcPr>
          <w:p>
            <w:r>
              <w:rPr>
                <w:b w:val="false"/>
                <w:bCs w:val="false"/>
                <w:sz w:val="20"/>
                <w:szCs w:val="20"/>
              </w:rPr>
              <w:t xml:space="preserve">Abdelrhman</w:t>
            </w:r>
          </w:p>
        </w:tc>
      </w:tr>
      <w:tr>
        <w:tc>
          <w:tcPr>
            <w:tcW w:type="dxa" w:w="2500"/>
            <w:shd w:fill="F2F2F2" w:val="clear"/>
            <w:vAlign w:val="center"/>
          </w:tcPr>
          <w:p>
            <w:r>
              <w:rPr>
                <w:b w:val="false"/>
                <w:bCs w:val="false"/>
                <w:sz w:val="20"/>
                <w:szCs w:val="20"/>
              </w:rPr>
              <w:t xml:space="preserve">Classification</w:t>
            </w:r>
          </w:p>
        </w:tc>
        <w:tc>
          <w:tcPr>
            <w:tcW w:type="dxa" w:w="7500"/>
            <w:shd w:fill="F2F2F2" w:val="clear"/>
            <w:vAlign w:val="center"/>
          </w:tcPr>
          <w:p>
            <w:r>
              <w:rPr>
                <w:b w:val="false"/>
                <w:bCs w:val="false"/>
                <w:sz w:val="20"/>
                <w:szCs w:val="20"/>
              </w:rPr>
              <w:t xml:space="preserve">Confidential — Internal Use Only</w:t>
            </w:r>
          </w:p>
        </w:tc>
      </w:tr>
      <w:tr>
        <w:tc>
          <w:tcPr>
            <w:tcW w:type="dxa" w:w="2500"/>
            <w:vAlign w:val="center"/>
          </w:tcPr>
          <w:p>
            <w:r>
              <w:rPr>
                <w:b w:val="false"/>
                <w:bCs w:val="false"/>
                <w:sz w:val="20"/>
                <w:szCs w:val="20"/>
              </w:rPr>
              <w:t xml:space="preserve">Prepared</w:t>
            </w:r>
          </w:p>
        </w:tc>
        <w:tc>
          <w:tcPr>
            <w:tcW w:type="dxa" w:w="7500"/>
            <w:vAlign w:val="center"/>
          </w:tcPr>
          <w:p>
            <w:r>
              <w:rPr>
                <w:b w:val="false"/>
                <w:bCs w:val="false"/>
                <w:sz w:val="20"/>
                <w:szCs w:val="20"/>
              </w:rPr>
              <w:t xml:space="preserve">September 2026</w:t>
            </w:r>
          </w:p>
        </w:tc>
      </w:tr>
    </w:tbl>
    <w:p>
      <w:pPr>
        <w:spacing w:after="200"/>
      </w:pPr>
    </w:p>
    <w:p>
      <w:pPr>
        <w:pStyle w:val="Heading2"/>
        <w:spacing w:after="150" w:before="300"/>
      </w:pPr>
      <w:r>
        <w:t xml:space="preserve">Version History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800"/>
        <w:gridCol w:w="5500"/>
      </w:tblGrid>
      <w:tr>
        <w:trPr>
          <w:tblHeader/>
        </w:trPr>
        <w:tc>
          <w:tcPr>
            <w:tcW w:type="dxa" w:w="1200"/>
            <w:shd w:fill="1F3864" w:val="clear"/>
            <w:vAlign w:val="center"/>
          </w:tcPr>
          <w:p>
            <w:r>
              <w:rPr>
                <w:b/>
                <w:bCs/>
                <w:color w:val="FFFFFF"/>
                <w:sz w:val="20"/>
                <w:szCs w:val="20"/>
              </w:rPr>
              <w:t xml:space="preserve">Version</w:t>
            </w:r>
          </w:p>
        </w:tc>
        <w:tc>
          <w:tcPr>
            <w:tcW w:type="dxa" w:w="1500"/>
            <w:shd w:fill="1F3864" w:val="clear"/>
            <w:vAlign w:val="center"/>
          </w:tcPr>
          <w:p>
            <w:r>
              <w:rPr>
                <w:b/>
                <w:bCs/>
                <w:color w:val="FFFFFF"/>
                <w:sz w:val="20"/>
                <w:szCs w:val="20"/>
              </w:rPr>
              <w:t xml:space="preserve">Date</w:t>
            </w:r>
          </w:p>
        </w:tc>
        <w:tc>
          <w:tcPr>
            <w:tcW w:type="dxa" w:w="1800"/>
            <w:shd w:fill="1F3864" w:val="clear"/>
            <w:vAlign w:val="center"/>
          </w:tcPr>
          <w:p>
            <w:r>
              <w:rPr>
                <w:b/>
                <w:bCs/>
                <w:color w:val="FFFFFF"/>
                <w:sz w:val="20"/>
                <w:szCs w:val="20"/>
              </w:rPr>
              <w:t xml:space="preserve">Author</w:t>
            </w:r>
          </w:p>
        </w:tc>
        <w:tc>
          <w:tcPr>
            <w:tcW w:type="dxa" w:w="5500"/>
            <w:shd w:fill="1F3864" w:val="clear"/>
            <w:vAlign w:val="center"/>
          </w:tcPr>
          <w:p>
            <w:r>
              <w:rPr>
                <w:b/>
                <w:bCs/>
                <w:color w:val="FFFFFF"/>
                <w:sz w:val="20"/>
                <w:szCs w:val="20"/>
              </w:rPr>
              <w:t xml:space="preserve">Change Description</w:t>
            </w:r>
          </w:p>
        </w:tc>
      </w:tr>
      <w:tr>
        <w:tc>
          <w:tcPr>
            <w:tcW w:type="dxa" w:w="1200"/>
            <w:vAlign w:val="center"/>
          </w:tcPr>
          <w:p>
            <w:r>
              <w:rPr>
                <w:b w:val="false"/>
                <w:bCs w:val="false"/>
                <w:sz w:val="20"/>
                <w:szCs w:val="20"/>
              </w:rPr>
              <w:t xml:space="preserve">0.1</w:t>
            </w:r>
          </w:p>
        </w:tc>
        <w:tc>
          <w:tcPr>
            <w:tcW w:type="dxa" w:w="1500"/>
            <w:vAlign w:val="center"/>
          </w:tcPr>
          <w:p>
            <w:r>
              <w:rPr>
                <w:b w:val="false"/>
                <w:bCs w:val="false"/>
                <w:sz w:val="20"/>
                <w:szCs w:val="20"/>
              </w:rPr>
              <w:t xml:space="preserve">Sep 2026</w:t>
            </w:r>
          </w:p>
        </w:tc>
        <w:tc>
          <w:tcPr>
            <w:tcW w:type="dxa" w:w="1800"/>
            <w:vAlign w:val="center"/>
          </w:tcPr>
          <w:p>
            <w:r>
              <w:rPr>
                <w:b w:val="false"/>
                <w:bCs w:val="false"/>
                <w:sz w:val="20"/>
                <w:szCs w:val="20"/>
              </w:rPr>
              <w:t xml:space="preserve">Abdelrhman</w:t>
            </w:r>
          </w:p>
        </w:tc>
        <w:tc>
          <w:tcPr>
            <w:tcW w:type="dxa" w:w="5500"/>
            <w:vAlign w:val="center"/>
          </w:tcPr>
          <w:p>
            <w:r>
              <w:rPr>
                <w:b w:val="false"/>
                <w:bCs w:val="false"/>
                <w:sz w:val="20"/>
                <w:szCs w:val="20"/>
              </w:rPr>
              <w:t xml:space="preserve">Initial draft based on competitive market research</w:t>
            </w:r>
          </w:p>
        </w:tc>
      </w:tr>
      <w:tr>
        <w:tc>
          <w:tcPr>
            <w:tcW w:type="dxa" w:w="1200"/>
            <w:shd w:fill="F2F2F2" w:val="clear"/>
            <w:vAlign w:val="center"/>
          </w:tcPr>
          <w:p>
            <w:r>
              <w:rPr>
                <w:b w:val="false"/>
                <w:bCs w:val="false"/>
                <w:sz w:val="20"/>
                <w:szCs w:val="20"/>
              </w:rPr>
              <w:t xml:space="preserve">1.0</w:t>
            </w:r>
          </w:p>
        </w:tc>
        <w:tc>
          <w:tcPr>
            <w:tcW w:type="dxa" w:w="1500"/>
            <w:shd w:fill="F2F2F2" w:val="clear"/>
            <w:vAlign w:val="center"/>
          </w:tcPr>
          <w:p>
            <w:r>
              <w:rPr>
                <w:b w:val="false"/>
                <w:bCs w:val="false"/>
                <w:sz w:val="20"/>
                <w:szCs w:val="20"/>
              </w:rPr>
              <w:t xml:space="preserve">Sep 2026</w:t>
            </w:r>
          </w:p>
        </w:tc>
        <w:tc>
          <w:tcPr>
            <w:tcW w:type="dxa" w:w="1800"/>
            <w:shd w:fill="F2F2F2" w:val="clear"/>
            <w:vAlign w:val="center"/>
          </w:tcPr>
          <w:p>
            <w:r>
              <w:rPr>
                <w:b w:val="false"/>
                <w:bCs w:val="false"/>
                <w:sz w:val="20"/>
                <w:szCs w:val="20"/>
              </w:rPr>
              <w:t xml:space="preserve">Abdelrhman</w:t>
            </w:r>
          </w:p>
        </w:tc>
        <w:tc>
          <w:tcPr>
            <w:tcW w:type="dxa" w:w="5500"/>
            <w:shd w:fill="F2F2F2" w:val="clear"/>
            <w:vAlign w:val="center"/>
          </w:tcPr>
          <w:p>
            <w:r>
              <w:rPr>
                <w:b w:val="false"/>
                <w:bCs w:val="false"/>
                <w:sz w:val="20"/>
                <w:szCs w:val="20"/>
              </w:rPr>
              <w:t xml:space="preserve">First complete BRD ready for stakeholder review</w:t>
            </w:r>
          </w:p>
        </w:tc>
      </w:tr>
      <w:tr>
        <w:tc>
          <w:tcPr>
            <w:tcW w:type="dxa" w:w="1200"/>
            <w:vAlign w:val="center"/>
          </w:tcPr>
          <w:p>
            <w:r>
              <w:rPr>
                <w:b w:val="false"/>
                <w:bCs w:val="false"/>
                <w:sz w:val="20"/>
                <w:szCs w:val="20"/>
              </w:rPr>
              <w:t xml:space="preserve">1.1</w:t>
            </w:r>
          </w:p>
        </w:tc>
        <w:tc>
          <w:tcPr>
            <w:tcW w:type="dxa" w:w="1500"/>
            <w:vAlign w:val="center"/>
          </w:tcPr>
          <w:p>
            <w:r>
              <w:rPr>
                <w:b w:val="false"/>
                <w:bCs w:val="false"/>
                <w:sz w:val="20"/>
                <w:szCs w:val="20"/>
              </w:rPr>
              <w:t xml:space="preserve">Sep 2026</w:t>
            </w:r>
          </w:p>
        </w:tc>
        <w:tc>
          <w:tcPr>
            <w:tcW w:type="dxa" w:w="1800"/>
            <w:vAlign w:val="center"/>
          </w:tcPr>
          <w:p>
            <w:r>
              <w:rPr>
                <w:b w:val="false"/>
                <w:bCs w:val="false"/>
                <w:sz w:val="20"/>
                <w:szCs w:val="20"/>
              </w:rPr>
              <w:t xml:space="preserve">Abdelrhman</w:t>
            </w:r>
          </w:p>
        </w:tc>
        <w:tc>
          <w:tcPr>
            <w:tcW w:type="dxa" w:w="5500"/>
            <w:vAlign w:val="center"/>
          </w:tcPr>
          <w:p>
            <w:r>
              <w:rPr>
                <w:b w:val="false"/>
                <w:bCs w:val="false"/>
                <w:sz w:val="20"/>
                <w:szCs w:val="20"/>
              </w:rPr>
              <w:t xml:space="preserve">Strategic revision: MVP is multi-platform (Salla, Zid, WooCommerce) from launch; simplified revenue attribution moved into MVP as a core proof point; flat-subscription pricing retained for MVP; risks and roadmap updated accordingly.</w:t>
            </w:r>
          </w:p>
        </w:tc>
      </w:tr>
    </w:tbl>
    <w:p>
      <w:r>
        <w:br w:type="page"/>
      </w:r>
    </w:p>
    <w:p>
      <w:pPr>
        <w:pStyle w:val="Heading1"/>
        <w:spacing w:after="200" w:before="400"/>
      </w:pPr>
      <w:r>
        <w:t xml:space="preserve">1. Executive Summary</w:t>
      </w:r>
    </w:p>
    <w:p>
      <w:pPr>
        <w:spacing w:after="150"/>
      </w:pPr>
      <w:r>
        <w:rPr>
          <w:b w:val="false"/>
          <w:bCs w:val="false"/>
          <w:i w:val="false"/>
          <w:iCs w:val="false"/>
          <w:sz w:val="22"/>
          <w:szCs w:val="22"/>
        </w:rPr>
        <w:t xml:space="preserve">Appliify is a mobile application platform purpose-built for e-commerce merchants operating on Salla, Zid, and WooCommerce at launch — with Shopify planned as a fast-follow — across the Saudi, Egyptian, and broader MENA markets. Unlike conventional “store-to-app” providers, whose value proposition begins and ends at replicating a merchant's online store inside a WebView shell, Appliify is positioned as an in-app growth and conversion engine: a mobile application embedded with the same category of conversion-rate-optimization (CRO) tooling merchants already rely on for their web storefronts, governed through a merchant-facing control dashboard, and extended over time through a modular feature marketplace.</w:t>
      </w:r>
    </w:p>
    <w:p>
      <w:pPr>
        <w:spacing w:after="150"/>
      </w:pPr>
      <w:r>
        <w:rPr>
          <w:b w:val="false"/>
          <w:bCs w:val="false"/>
          <w:i w:val="false"/>
          <w:iCs w:val="false"/>
          <w:sz w:val="22"/>
          <w:szCs w:val="22"/>
        </w:rPr>
        <w:t xml:space="preserve">Two structural decisions differentiate Appliify from day one rather than as future aspirations. First, Appliify is built as a platform-agnostic product starting with the MVP, giving it a form of defensibility that single-platform native app builders — Salla's App Maker, Zid's App Market — cannot replicate by design, since each is permanently confined to its own ecosystem. Second, revenue attribution — measuring what share of a merchant's online revenue is driven through the app — ships as a simplified but functioning capability inside the MVP itself, not deferred to a later phase, because it is the single proof point that justifies the product's value and its price to a first-time buyer.</w:t>
      </w:r>
    </w:p>
    <w:p>
      <w:pPr>
        <w:spacing w:after="150"/>
      </w:pPr>
      <w:r>
        <w:rPr>
          <w:b w:val="false"/>
          <w:bCs w:val="false"/>
          <w:i w:val="false"/>
          <w:iCs w:val="false"/>
          <w:sz w:val="22"/>
          <w:szCs w:val="22"/>
        </w:rPr>
        <w:t xml:space="preserve">This document formalizes the business case, scope, and requirements for Appliify at the business level, ahead of detailed functional and technical specification. It is informed by a structured competitive analysis of both the regional market (Trujena, SplendApp, Appify by Cloud Co., Storeino, Salla's native App Maker, and Zid's App Market) and the global benchmark market (MobiLoud, Tapcart, Vajro, Plobal Apps, Shopney, GoodBarber, AppMySite).</w:t>
      </w:r>
    </w:p>
    <w:p>
      <w:pPr>
        <w:spacing w:after="150"/>
      </w:pPr>
      <w:r>
        <w:rPr>
          <w:b w:val="false"/>
          <w:bCs w:val="false"/>
          <w:i w:val="false"/>
          <w:iCs w:val="false"/>
          <w:sz w:val="22"/>
          <w:szCs w:val="22"/>
        </w:rPr>
        <w:t xml:space="preserve">The central finding driving this BRD: the regional market still transacts on the logic of “the app as a one-time service,” while the mature global market has shifted to “the app as a measurable, ongoing revenue channel.” Appliify is designed to close that gap first in the Saudi, Egyptian, and broader MENA markets — entering through breadth of platform coverage rather than depth on a single platform where a native competitor already holds a structural, hard-to-beat advantage.</w:t>
      </w:r>
    </w:p>
    <w:p>
      <w:pPr>
        <w:pStyle w:val="Heading1"/>
        <w:spacing w:after="200" w:before="400"/>
      </w:pPr>
      <w:r>
        <w:t xml:space="preserve">2. Business Context &amp; Market Opportunity</w:t>
      </w:r>
    </w:p>
    <w:p>
      <w:pPr>
        <w:pStyle w:val="Heading2"/>
        <w:spacing w:after="150" w:before="300"/>
      </w:pPr>
      <w:r>
        <w:t xml:space="preserve">2.1 Market Structure</w:t>
      </w:r>
    </w:p>
    <w:p>
      <w:pPr>
        <w:spacing w:after="150"/>
      </w:pPr>
      <w:r>
        <w:rPr>
          <w:b w:val="false"/>
          <w:bCs w:val="false"/>
          <w:i w:val="false"/>
          <w:iCs w:val="false"/>
          <w:sz w:val="22"/>
          <w:szCs w:val="22"/>
        </w:rPr>
        <w:t xml:space="preserve">The competitive landscape in this category operates across three distinct layers, each carrying a different level of competitive threat:</w:t>
      </w:r>
    </w:p>
    <w:p>
      <w:pPr>
        <w:pStyle w:val="ListParagraph"/>
        <w:numPr>
          <w:ilvl w:val="0"/>
          <w:numId w:val="1"/>
        </w:numPr>
        <w:spacing w:after="100"/>
        <w:rPr>
          <w:sz w:val="22"/>
          <w:szCs w:val="22"/>
        </w:rPr>
      </w:pPr>
      <w:r>
        <w:t xml:space="preserve">Layer 1 — Native platform features (e.g., Salla's built-in “App Maker,” bundled into paid subscription tiers, reportedly driving up to 85% of total merchant sales through the app for adopters).</w:t>
      </w:r>
    </w:p>
    <w:p>
      <w:pPr>
        <w:pStyle w:val="ListParagraph"/>
        <w:numPr>
          <w:ilvl w:val="0"/>
          <w:numId w:val="1"/>
        </w:numPr>
        <w:spacing w:after="100"/>
        <w:rPr>
          <w:sz w:val="22"/>
          <w:szCs w:val="22"/>
        </w:rPr>
      </w:pPr>
      <w:r>
        <w:t xml:space="preserve">Layer 2 — Approved marketplace partners (e.g., “Anaqeed Al-Tatbiqat” within Zid's App Market).</w:t>
      </w:r>
    </w:p>
    <w:p>
      <w:pPr>
        <w:pStyle w:val="ListParagraph"/>
        <w:numPr>
          <w:ilvl w:val="0"/>
          <w:numId w:val="1"/>
        </w:numPr>
        <w:spacing w:after="100"/>
        <w:rPr>
          <w:sz w:val="22"/>
          <w:szCs w:val="22"/>
        </w:rPr>
      </w:pPr>
      <w:r>
        <w:t xml:space="preserve">Layer 3 — Independent third-party providers (Trujena, SplendApp, Appify/Cloud Co.), which is the layer Appliify enters directly.</w:t>
      </w:r>
    </w:p>
    <w:p>
      <w:pPr>
        <w:spacing w:after="150"/>
      </w:pPr>
      <w:r>
        <w:rPr>
          <w:b w:val="false"/>
          <w:bCs w:val="false"/>
          <w:i w:val="false"/>
          <w:iCs w:val="false"/>
          <w:sz w:val="22"/>
          <w:szCs w:val="22"/>
        </w:rPr>
        <w:t xml:space="preserve">A material weakness shared by every Layer 1 and Layer 2 player is that each is locked to a single underlying commerce platform by design — Salla's App Maker only serves Salla stores, and Zid's App Market only serves Zid stores. A merchant operating on more than one platform, or considering a future migration, cannot carry that native-layer investment with them. This is the structural gap Appliify's multi-platform architecture is built to exploit.</w:t>
      </w:r>
    </w:p>
    <w:p>
      <w:pPr>
        <w:pStyle w:val="Heading2"/>
        <w:spacing w:after="150" w:before="300"/>
      </w:pPr>
      <w:r>
        <w:t xml:space="preserve">2.2 Global Benchmark</w:t>
      </w:r>
    </w:p>
    <w:p>
      <w:pPr>
        <w:spacing w:after="150"/>
      </w:pPr>
      <w:r>
        <w:rPr>
          <w:b w:val="false"/>
          <w:bCs w:val="false"/>
          <w:i w:val="false"/>
          <w:iCs w:val="false"/>
          <w:sz w:val="22"/>
          <w:szCs w:val="22"/>
        </w:rPr>
        <w:t xml:space="preserve">Globally, this category is mature and well-capitalized. MobiLoud (operating since 2013, serving 2,000+ brands including Estée Lauder) reports that its clients derive between 20% and 60% of online revenue through the mobile app channel, at price points of USD 350–1,499 per month. Tapcart, the Shopify-native market leader, prices from USD 500 to 2,850 per month. Mid-market players such as Vajro have moved toward performance-based pricing, charging success fees only once a merchant's in-app sales exceed a defined threshold.</w:t>
      </w:r>
    </w:p>
    <w:p>
      <w:pPr>
        <w:pStyle w:val="Heading2"/>
        <w:spacing w:after="150" w:before="300"/>
      </w:pPr>
      <w:r>
        <w:t xml:space="preserve">2.3 The Identified Gap</w:t>
      </w:r>
    </w:p>
    <w:p>
      <w:pPr>
        <w:spacing w:after="150"/>
      </w:pPr>
      <w:r>
        <w:rPr>
          <w:b w:val="false"/>
          <w:bCs w:val="false"/>
          <w:i w:val="false"/>
          <w:iCs w:val="false"/>
          <w:sz w:val="22"/>
          <w:szCs w:val="22"/>
        </w:rPr>
        <w:t xml:space="preserve">No regional competitor currently offers all of the following combined:</w:t>
      </w:r>
    </w:p>
    <w:p>
      <w:pPr>
        <w:pStyle w:val="ListParagraph"/>
        <w:numPr>
          <w:ilvl w:val="0"/>
          <w:numId w:val="1"/>
        </w:numPr>
        <w:spacing w:after="100"/>
        <w:rPr>
          <w:sz w:val="22"/>
          <w:szCs w:val="22"/>
        </w:rPr>
      </w:pPr>
      <w:r>
        <w:t xml:space="preserve">(a) a genuine in-app CRO toolkit comparable to what merchants already purchase for their web storefronts (e.g., Tooliify on Salla);</w:t>
      </w:r>
    </w:p>
    <w:p>
      <w:pPr>
        <w:pStyle w:val="ListParagraph"/>
        <w:numPr>
          <w:ilvl w:val="0"/>
          <w:numId w:val="1"/>
        </w:numPr>
        <w:spacing w:after="100"/>
        <w:rPr>
          <w:sz w:val="22"/>
          <w:szCs w:val="22"/>
        </w:rPr>
      </w:pPr>
      <w:r>
        <w:t xml:space="preserve">(b) a self-service merchant dashboard for full app control without vendor dependency;</w:t>
      </w:r>
    </w:p>
    <w:p>
      <w:pPr>
        <w:pStyle w:val="ListParagraph"/>
        <w:numPr>
          <w:ilvl w:val="0"/>
          <w:numId w:val="1"/>
        </w:numPr>
        <w:spacing w:after="100"/>
        <w:rPr>
          <w:sz w:val="22"/>
          <w:szCs w:val="22"/>
        </w:rPr>
      </w:pPr>
      <w:r>
        <w:t xml:space="preserve">(c) a pricing and analytics model that ties the app directly to measurable revenue attribution; and</w:t>
      </w:r>
    </w:p>
    <w:p>
      <w:pPr>
        <w:pStyle w:val="ListParagraph"/>
        <w:numPr>
          <w:ilvl w:val="0"/>
          <w:numId w:val="1"/>
        </w:numPr>
        <w:spacing w:after="100"/>
        <w:rPr>
          <w:sz w:val="22"/>
          <w:szCs w:val="22"/>
        </w:rPr>
      </w:pPr>
      <w:r>
        <w:t xml:space="preserve">(d) a single app experience that works across multiple underlying e-commerce platforms (Salla, Zid, WooCommerce, and — as a fast-follow — Shopify), a form of platform independence no Layer 1 or Layer 2 regional competitor can offer, since each is tied to one platform by construction.</w:t>
      </w:r>
    </w:p>
    <w:p>
      <w:pPr>
        <w:spacing w:after="150"/>
      </w:pPr>
      <w:r>
        <w:rPr>
          <w:b w:val="false"/>
          <w:bCs w:val="false"/>
          <w:i w:val="false"/>
          <w:iCs w:val="false"/>
          <w:sz w:val="22"/>
          <w:szCs w:val="22"/>
        </w:rPr>
        <w:t xml:space="preserve">This combined gap — breadth of platform coverage plus depth of real growth tooling plus proof of revenue impact — is the opportunity Appliify is built to capture.</w:t>
      </w:r>
    </w:p>
    <w:p>
      <w:pPr>
        <w:pStyle w:val="Heading1"/>
        <w:spacing w:after="200" w:before="400"/>
      </w:pPr>
      <w:r>
        <w:t xml:space="preserve">3. Problem Statement</w:t>
      </w:r>
    </w:p>
    <w:p>
      <w:pPr>
        <w:spacing w:after="150"/>
      </w:pPr>
      <w:r>
        <w:rPr>
          <w:b w:val="false"/>
          <w:bCs w:val="false"/>
          <w:i w:val="false"/>
          <w:iCs w:val="false"/>
          <w:sz w:val="22"/>
          <w:szCs w:val="22"/>
        </w:rPr>
        <w:t xml:space="preserve">Merchants who convert their online store into a mobile app today receive, in effect, a static replica of their website wrapped in a native shell. They gain a presence on the App Store and Google Play, but they do not gain any of the growth or conversion tooling that materially moves revenue — tools they are often already paying for separately on their web storefront (urgency counters, stock scarcity indicators, social proof, abandoned-cart recovery, and behavior-based push messaging). The result is a mobile app that exists but underperforms as a revenue channel, and a merchant who cannot self-manage or extend it without recurring vendor involvement.</w:t>
      </w:r>
    </w:p>
    <w:p>
      <w:pPr>
        <w:spacing w:after="150"/>
      </w:pPr>
      <w:r>
        <w:rPr>
          <w:b w:val="false"/>
          <w:bCs w:val="false"/>
          <w:i w:val="false"/>
          <w:iCs w:val="false"/>
          <w:sz w:val="22"/>
          <w:szCs w:val="22"/>
        </w:rPr>
        <w:t xml:space="preserve">The one regional provider that does offer broader platform coverage today (SplendApp) still falls short on real growth tooling and revenue proof. Appliify is designed to combine both breadth of coverage and depth of growth tooling, rather than trading one for the other.</w:t>
      </w:r>
    </w:p>
    <w:p>
      <w:pPr>
        <w:pStyle w:val="Heading1"/>
        <w:spacing w:after="200" w:before="400"/>
      </w:pPr>
      <w:r>
        <w:t xml:space="preserve">4. Business Objectives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6500"/>
        <w:gridCol w:w="2000"/>
      </w:tblGrid>
      <w:tr>
        <w:trPr>
          <w:tblHeader/>
        </w:trPr>
        <w:tc>
          <w:tcPr>
            <w:tcW w:type="dxa" w:w="1500"/>
            <w:shd w:fill="1F3864" w:val="clear"/>
            <w:vAlign w:val="center"/>
          </w:tcPr>
          <w:p>
            <w:r>
              <w:rPr>
                <w:b/>
                <w:bCs/>
                <w:color w:val="FFFFFF"/>
                <w:sz w:val="20"/>
                <w:szCs w:val="20"/>
              </w:rPr>
              <w:t xml:space="preserve">ID</w:t>
            </w:r>
          </w:p>
        </w:tc>
        <w:tc>
          <w:tcPr>
            <w:tcW w:type="dxa" w:w="6500"/>
            <w:shd w:fill="1F3864" w:val="clear"/>
            <w:vAlign w:val="center"/>
          </w:tcPr>
          <w:p>
            <w:r>
              <w:rPr>
                <w:b/>
                <w:bCs/>
                <w:color w:val="FFFFFF"/>
                <w:sz w:val="20"/>
                <w:szCs w:val="20"/>
              </w:rPr>
              <w:t xml:space="preserve">Objective</w:t>
            </w:r>
          </w:p>
        </w:tc>
        <w:tc>
          <w:tcPr>
            <w:tcW w:type="dxa" w:w="2000"/>
            <w:shd w:fill="1F3864" w:val="clear"/>
            <w:vAlign w:val="center"/>
          </w:tcPr>
          <w:p>
            <w:r>
              <w:rPr>
                <w:b/>
                <w:bCs/>
                <w:color w:val="FFFFFF"/>
                <w:sz w:val="20"/>
                <w:szCs w:val="20"/>
              </w:rPr>
              <w:t xml:space="preserve">Business Rationale</w:t>
            </w:r>
          </w:p>
        </w:tc>
      </w:tr>
      <w:tr>
        <w:tc>
          <w:tcPr>
            <w:tcW w:type="dxa" w:w="1500"/>
            <w:vAlign w:val="center"/>
          </w:tcPr>
          <w:p>
            <w:r>
              <w:rPr>
                <w:b w:val="false"/>
                <w:bCs w:val="false"/>
                <w:sz w:val="20"/>
                <w:szCs w:val="20"/>
              </w:rPr>
              <w:t xml:space="preserve">OBJ-01</w:t>
            </w:r>
          </w:p>
        </w:tc>
        <w:tc>
          <w:tcPr>
            <w:tcW w:type="dxa" w:w="6500"/>
            <w:vAlign w:val="center"/>
          </w:tcPr>
          <w:p>
            <w:r>
              <w:rPr>
                <w:b w:val="false"/>
                <w:bCs w:val="false"/>
                <w:sz w:val="20"/>
                <w:szCs w:val="20"/>
              </w:rPr>
              <w:t xml:space="preserve">Launch a functioning MVP mobile app product for merchants on Salla, Zid, and WooCommerce simultaneously, within one quarter.</w:t>
            </w:r>
          </w:p>
        </w:tc>
        <w:tc>
          <w:tcPr>
            <w:tcW w:type="dxa" w:w="2000"/>
            <w:vAlign w:val="center"/>
          </w:tcPr>
          <w:p>
            <w:r>
              <w:rPr>
                <w:b w:val="false"/>
                <w:bCs w:val="false"/>
                <w:sz w:val="20"/>
                <w:szCs w:val="20"/>
              </w:rPr>
              <w:t xml:space="preserve">Establishes market presence across multiple platforms at once and validates demand without being confined to a single platform where a Layer 1 native competitor (Salla App Maker) already dominates.</w:t>
            </w:r>
          </w:p>
        </w:tc>
      </w:tr>
      <w:tr>
        <w:tc>
          <w:tcPr>
            <w:tcW w:type="dxa" w:w="1500"/>
            <w:shd w:fill="F2F2F2" w:val="clear"/>
            <w:vAlign w:val="center"/>
          </w:tcPr>
          <w:p>
            <w:r>
              <w:rPr>
                <w:b w:val="false"/>
                <w:bCs w:val="false"/>
                <w:sz w:val="20"/>
                <w:szCs w:val="20"/>
              </w:rPr>
              <w:t xml:space="preserve">OBJ-02</w:t>
            </w:r>
          </w:p>
        </w:tc>
        <w:tc>
          <w:tcPr>
            <w:tcW w:type="dxa" w:w="6500"/>
            <w:shd w:fill="F2F2F2" w:val="clear"/>
            <w:vAlign w:val="center"/>
          </w:tcPr>
          <w:p>
            <w:r>
              <w:rPr>
                <w:b w:val="false"/>
                <w:bCs w:val="false"/>
                <w:sz w:val="20"/>
                <w:szCs w:val="20"/>
              </w:rPr>
              <w:t xml:space="preserve">Achieve feature parity with leading web-based CRO tools (e.g., Tooliify), delivered natively inside the mobile app.</w:t>
            </w:r>
          </w:p>
        </w:tc>
        <w:tc>
          <w:tcPr>
            <w:tcW w:type="dxa" w:w="2000"/>
            <w:shd w:fill="F2F2F2" w:val="clear"/>
            <w:vAlign w:val="center"/>
          </w:tcPr>
          <w:p>
            <w:r>
              <w:rPr>
                <w:b w:val="false"/>
                <w:bCs w:val="false"/>
                <w:sz w:val="20"/>
                <w:szCs w:val="20"/>
              </w:rPr>
              <w:t xml:space="preserve">This is the core differentiator versus Trujena, SplendApp, and Appify.</w:t>
            </w:r>
          </w:p>
        </w:tc>
      </w:tr>
      <w:tr>
        <w:tc>
          <w:tcPr>
            <w:tcW w:type="dxa" w:w="1500"/>
            <w:vAlign w:val="center"/>
          </w:tcPr>
          <w:p>
            <w:r>
              <w:rPr>
                <w:b w:val="false"/>
                <w:bCs w:val="false"/>
                <w:sz w:val="20"/>
                <w:szCs w:val="20"/>
              </w:rPr>
              <w:t xml:space="preserve">OBJ-03</w:t>
            </w:r>
          </w:p>
        </w:tc>
        <w:tc>
          <w:tcPr>
            <w:tcW w:type="dxa" w:w="6500"/>
            <w:vAlign w:val="center"/>
          </w:tcPr>
          <w:p>
            <w:r>
              <w:rPr>
                <w:b w:val="false"/>
                <w:bCs w:val="false"/>
                <w:sz w:val="20"/>
                <w:szCs w:val="20"/>
              </w:rPr>
              <w:t xml:space="preserve">Give merchants full self-service control over app appearance, push notifications, and feature activation.</w:t>
            </w:r>
          </w:p>
        </w:tc>
        <w:tc>
          <w:tcPr>
            <w:tcW w:type="dxa" w:w="2000"/>
            <w:vAlign w:val="center"/>
          </w:tcPr>
          <w:p>
            <w:r>
              <w:rPr>
                <w:b w:val="false"/>
                <w:bCs w:val="false"/>
                <w:sz w:val="20"/>
                <w:szCs w:val="20"/>
              </w:rPr>
              <w:t xml:space="preserve">Removes vendor dependency, a stated weakness across current regional providers.</w:t>
            </w:r>
          </w:p>
        </w:tc>
      </w:tr>
      <w:tr>
        <w:tc>
          <w:tcPr>
            <w:tcW w:type="dxa" w:w="1500"/>
            <w:shd w:fill="F2F2F2" w:val="clear"/>
            <w:vAlign w:val="center"/>
          </w:tcPr>
          <w:p>
            <w:r>
              <w:rPr>
                <w:b w:val="false"/>
                <w:bCs w:val="false"/>
                <w:sz w:val="20"/>
                <w:szCs w:val="20"/>
              </w:rPr>
              <w:t xml:space="preserve">OBJ-04</w:t>
            </w:r>
          </w:p>
        </w:tc>
        <w:tc>
          <w:tcPr>
            <w:tcW w:type="dxa" w:w="6500"/>
            <w:shd w:fill="F2F2F2" w:val="clear"/>
            <w:vAlign w:val="center"/>
          </w:tcPr>
          <w:p>
            <w:r>
              <w:rPr>
                <w:b w:val="false"/>
                <w:bCs w:val="false"/>
                <w:sz w:val="20"/>
                <w:szCs w:val="20"/>
              </w:rPr>
              <w:t xml:space="preserve">Deliver a working revenue-attribution capability inside the MVP itself, even in simplified form, so every prospective merchant can be shown real (if early) evidence of app-driven revenue before being asked to pay.</w:t>
            </w:r>
          </w:p>
        </w:tc>
        <w:tc>
          <w:tcPr>
            <w:tcW w:type="dxa" w:w="2000"/>
            <w:shd w:fill="F2F2F2" w:val="clear"/>
            <w:vAlign w:val="center"/>
          </w:tcPr>
          <w:p>
            <w:r>
              <w:rPr>
                <w:b w:val="false"/>
                <w:bCs w:val="false"/>
                <w:sz w:val="20"/>
                <w:szCs w:val="20"/>
              </w:rPr>
              <w:t xml:space="preserve">This is the primary proof point that justifies price and differentiates Appliify from flat, evidence-free store-to-app subscriptions. Deliberately not deferred to a later phase.</w:t>
            </w:r>
          </w:p>
        </w:tc>
      </w:tr>
      <w:tr>
        <w:tc>
          <w:tcPr>
            <w:tcW w:type="dxa" w:w="1500"/>
            <w:vAlign w:val="center"/>
          </w:tcPr>
          <w:p>
            <w:r>
              <w:rPr>
                <w:b w:val="false"/>
                <w:bCs w:val="false"/>
                <w:sz w:val="20"/>
                <w:szCs w:val="20"/>
              </w:rPr>
              <w:t xml:space="preserve">OBJ-05</w:t>
            </w:r>
          </w:p>
        </w:tc>
        <w:tc>
          <w:tcPr>
            <w:tcW w:type="dxa" w:w="6500"/>
            <w:vAlign w:val="center"/>
          </w:tcPr>
          <w:p>
            <w:r>
              <w:rPr>
                <w:b w:val="false"/>
                <w:bCs w:val="false"/>
                <w:sz w:val="20"/>
                <w:szCs w:val="20"/>
              </w:rPr>
              <w:t xml:space="preserve">Build toward a modular feature marketplace once product-market fit is confirmed.</w:t>
            </w:r>
          </w:p>
        </w:tc>
        <w:tc>
          <w:tcPr>
            <w:tcW w:type="dxa" w:w="2000"/>
            <w:vAlign w:val="center"/>
          </w:tcPr>
          <w:p>
            <w:r>
              <w:rPr>
                <w:b w:val="false"/>
                <w:bCs w:val="false"/>
                <w:sz w:val="20"/>
                <w:szCs w:val="20"/>
              </w:rPr>
              <w:t xml:space="preserve">Enables recurring upsell revenue and long-term account expansion.</w:t>
            </w:r>
          </w:p>
        </w:tc>
      </w:tr>
      <w:tr>
        <w:tc>
          <w:tcPr>
            <w:tcW w:type="dxa" w:w="1500"/>
            <w:shd w:fill="F2F2F2" w:val="clear"/>
            <w:vAlign w:val="center"/>
          </w:tcPr>
          <w:p>
            <w:r>
              <w:rPr>
                <w:b w:val="false"/>
                <w:bCs w:val="false"/>
                <w:sz w:val="20"/>
                <w:szCs w:val="20"/>
              </w:rPr>
              <w:t xml:space="preserve">OBJ-06</w:t>
            </w:r>
          </w:p>
        </w:tc>
        <w:tc>
          <w:tcPr>
            <w:tcW w:type="dxa" w:w="6500"/>
            <w:shd w:fill="F2F2F2" w:val="clear"/>
            <w:vAlign w:val="center"/>
          </w:tcPr>
          <w:p>
            <w:r>
              <w:rPr>
                <w:b w:val="false"/>
                <w:bCs w:val="false"/>
                <w:sz w:val="20"/>
                <w:szCs w:val="20"/>
              </w:rPr>
              <w:t xml:space="preserve">Establish platform breadth (Salla + Zid + WooCommerce, Shopify as fast-follow) as a structural differentiator.</w:t>
            </w:r>
          </w:p>
        </w:tc>
        <w:tc>
          <w:tcPr>
            <w:tcW w:type="dxa" w:w="2000"/>
            <w:shd w:fill="F2F2F2" w:val="clear"/>
            <w:vAlign w:val="center"/>
          </w:tcPr>
          <w:p>
            <w:r>
              <w:rPr>
                <w:b w:val="false"/>
                <w:bCs w:val="false"/>
                <w:sz w:val="20"/>
                <w:szCs w:val="20"/>
              </w:rPr>
              <w:t xml:space="preserve">Converts a competitive weakness — facing an entrenched Layer 1 competitor on Salla alone — into a strength, since no single-platform native competitor can replicate cross-platform reach.</w:t>
            </w:r>
          </w:p>
        </w:tc>
      </w:tr>
    </w:tbl>
    <w:p>
      <w:pPr>
        <w:pStyle w:val="Heading1"/>
        <w:spacing w:after="200" w:before="400"/>
      </w:pPr>
      <w:r>
        <w:t xml:space="preserve">5. Project Scope</w:t>
      </w:r>
    </w:p>
    <w:p>
      <w:pPr>
        <w:pStyle w:val="Heading2"/>
        <w:spacing w:after="150" w:before="300"/>
      </w:pPr>
      <w:r>
        <w:t xml:space="preserve">5.1 In Scope — Phase 0 (MVP)</w:t>
      </w:r>
    </w:p>
    <w:p>
      <w:pPr>
        <w:pStyle w:val="ListParagraph"/>
        <w:numPr>
          <w:ilvl w:val="0"/>
          <w:numId w:val="1"/>
        </w:numPr>
        <w:spacing w:after="100"/>
        <w:rPr>
          <w:sz w:val="22"/>
          <w:szCs w:val="22"/>
        </w:rPr>
      </w:pPr>
      <w:r>
        <w:t xml:space="preserve">Native mobile application (iOS and Android) built on a platform-agnostic WebView shell, with initial store connectors for Salla, Zid, and WooCommerce (Shopify connector planned as a fast-follow using the same connector architecture).</w:t>
      </w:r>
    </w:p>
    <w:p>
      <w:pPr>
        <w:pStyle w:val="ListParagraph"/>
        <w:numPr>
          <w:ilvl w:val="0"/>
          <w:numId w:val="1"/>
        </w:numPr>
        <w:spacing w:after="100"/>
        <w:rPr>
          <w:sz w:val="22"/>
          <w:szCs w:val="22"/>
        </w:rPr>
      </w:pPr>
      <w:r>
        <w:t xml:space="preserve">Merchant-facing web dashboard for branding control (logo, colors, splash screen).</w:t>
      </w:r>
    </w:p>
    <w:p>
      <w:pPr>
        <w:pStyle w:val="ListParagraph"/>
        <w:numPr>
          <w:ilvl w:val="0"/>
          <w:numId w:val="1"/>
        </w:numPr>
        <w:spacing w:after="100"/>
        <w:rPr>
          <w:sz w:val="22"/>
          <w:szCs w:val="22"/>
        </w:rPr>
      </w:pPr>
      <w:r>
        <w:t xml:space="preserve">Basic push notification composer with manual send and scheduling.</w:t>
      </w:r>
    </w:p>
    <w:p>
      <w:pPr>
        <w:pStyle w:val="ListParagraph"/>
        <w:numPr>
          <w:ilvl w:val="0"/>
          <w:numId w:val="1"/>
        </w:numPr>
        <w:spacing w:after="100"/>
        <w:rPr>
          <w:sz w:val="22"/>
          <w:szCs w:val="22"/>
        </w:rPr>
      </w:pPr>
      <w:r>
        <w:t xml:space="preserve">Simplified revenue attribution: tagging orders that originate from an app session and reporting the resulting percentage of store revenue, clearly labeled to merchants as an early-stage methodology.</w:t>
      </w:r>
    </w:p>
    <w:p>
      <w:pPr>
        <w:pStyle w:val="ListParagraph"/>
        <w:numPr>
          <w:ilvl w:val="0"/>
          <w:numId w:val="1"/>
        </w:numPr>
        <w:spacing w:after="100"/>
        <w:rPr>
          <w:sz w:val="22"/>
          <w:szCs w:val="22"/>
        </w:rPr>
      </w:pPr>
      <w:r>
        <w:t xml:space="preserve">Core analytics overview (installs, active users, notification open rate).</w:t>
      </w:r>
    </w:p>
    <w:p>
      <w:pPr>
        <w:shd w:fill="FFF2CC" w:val="clear"/>
        <w:spacing w:after="200" w:before="100"/>
      </w:pPr>
      <w:r>
        <w:rPr>
          <w:b/>
          <w:bCs/>
          <w:sz w:val="20"/>
          <w:szCs w:val="20"/>
        </w:rPr>
        <w:t xml:space="preserve">REVISION NOTE (v1.1): </w:t>
      </w:r>
      <w:r>
        <w:rPr>
          <w:i/>
          <w:iCs/>
          <w:sz w:val="20"/>
          <w:szCs w:val="20"/>
        </w:rPr>
        <w:t xml:space="preserve">Revenue attribution and multi-platform connectors are pulled forward into the MVP (they were Phase 1/2 items in v1.0). This is intentional: without an early, demonstrable proof of revenue impact and cross-platform reach, the MVP looks identical to Trujena/SplendApp and gives a merchant no reason to switch or pay.</w:t>
      </w:r>
    </w:p>
    <w:p>
      <w:pPr>
        <w:pStyle w:val="Heading2"/>
        <w:spacing w:after="150" w:before="300"/>
      </w:pPr>
      <w:r>
        <w:t xml:space="preserve">5.2 In Scope — Phase 1 (CRO Core)</w:t>
      </w:r>
    </w:p>
    <w:p>
      <w:pPr>
        <w:pStyle w:val="ListParagraph"/>
        <w:numPr>
          <w:ilvl w:val="0"/>
          <w:numId w:val="1"/>
        </w:numPr>
        <w:spacing w:after="100"/>
        <w:rPr>
          <w:sz w:val="22"/>
          <w:szCs w:val="22"/>
        </w:rPr>
      </w:pPr>
      <w:r>
        <w:t xml:space="preserve">In-app CRO toolkit: countdown timers, stock scarcity counters, social proof popups, sticky discount bar, abandoned-cart recovery push.</w:t>
      </w:r>
    </w:p>
    <w:p>
      <w:pPr>
        <w:pStyle w:val="Heading2"/>
        <w:spacing w:after="150" w:before="300"/>
      </w:pPr>
      <w:r>
        <w:t xml:space="preserve">5.3 In Scope — Phase 2 (Growth Engine)</w:t>
      </w:r>
    </w:p>
    <w:p>
      <w:pPr>
        <w:pStyle w:val="ListParagraph"/>
        <w:numPr>
          <w:ilvl w:val="0"/>
          <w:numId w:val="1"/>
        </w:numPr>
        <w:spacing w:after="100"/>
        <w:rPr>
          <w:sz w:val="22"/>
          <w:szCs w:val="22"/>
        </w:rPr>
      </w:pPr>
      <w:r>
        <w:t xml:space="preserve">Behavioral push segmentation (cart abandonment, back-in-stock, price-drop alerts).</w:t>
      </w:r>
    </w:p>
    <w:p>
      <w:pPr>
        <w:pStyle w:val="ListParagraph"/>
        <w:numPr>
          <w:ilvl w:val="0"/>
          <w:numId w:val="1"/>
        </w:numPr>
        <w:spacing w:after="100"/>
        <w:rPr>
          <w:sz w:val="22"/>
          <w:szCs w:val="22"/>
        </w:rPr>
      </w:pPr>
      <w:r>
        <w:t xml:space="preserve">Full in-app funnel analytics (session, product view, cart, purchase) layered on top of the MVP's simplified attribution.</w:t>
      </w:r>
    </w:p>
    <w:p>
      <w:pPr>
        <w:pStyle w:val="ListParagraph"/>
        <w:numPr>
          <w:ilvl w:val="0"/>
          <w:numId w:val="1"/>
        </w:numPr>
        <w:spacing w:after="100"/>
        <w:rPr>
          <w:sz w:val="22"/>
          <w:szCs w:val="22"/>
        </w:rPr>
      </w:pPr>
      <w:r>
        <w:t xml:space="preserve">Shopify connector, using the platform-agnostic architecture established at MVP.</w:t>
      </w:r>
    </w:p>
    <w:p>
      <w:pPr>
        <w:pStyle w:val="Heading2"/>
        <w:spacing w:after="150" w:before="300"/>
      </w:pPr>
      <w:r>
        <w:t xml:space="preserve">5.4 Out of Scope — Phase 0 (MVP)</w:t>
      </w:r>
    </w:p>
    <w:p>
      <w:pPr>
        <w:pStyle w:val="ListParagraph"/>
        <w:numPr>
          <w:ilvl w:val="0"/>
          <w:numId w:val="1"/>
        </w:numPr>
        <w:spacing w:after="100"/>
        <w:rPr>
          <w:sz w:val="22"/>
          <w:szCs w:val="22"/>
        </w:rPr>
      </w:pPr>
      <w:r>
        <w:t xml:space="preserve">Shopify connector (fast-follow immediately after MVP validation; not committed at MVP launch).</w:t>
      </w:r>
    </w:p>
    <w:p>
      <w:pPr>
        <w:pStyle w:val="ListParagraph"/>
        <w:numPr>
          <w:ilvl w:val="0"/>
          <w:numId w:val="1"/>
        </w:numPr>
        <w:spacing w:after="100"/>
        <w:rPr>
          <w:sz w:val="22"/>
          <w:szCs w:val="22"/>
        </w:rPr>
      </w:pPr>
      <w:r>
        <w:t xml:space="preserve">The internal feature marketplace / app store for add-ons (Phase 3 — explicitly deferred until product-market fit is demonstrated).</w:t>
      </w:r>
    </w:p>
    <w:p>
      <w:pPr>
        <w:pStyle w:val="ListParagraph"/>
        <w:numPr>
          <w:ilvl w:val="0"/>
          <w:numId w:val="1"/>
        </w:numPr>
        <w:spacing w:after="100"/>
        <w:rPr>
          <w:sz w:val="22"/>
          <w:szCs w:val="22"/>
        </w:rPr>
      </w:pPr>
      <w:r>
        <w:t xml:space="preserve">Advanced features such as live selling, AR try-on, and loyalty/referral programs.</w:t>
      </w:r>
    </w:p>
    <w:p>
      <w:pPr>
        <w:pStyle w:val="ListParagraph"/>
        <w:numPr>
          <w:ilvl w:val="0"/>
          <w:numId w:val="1"/>
        </w:numPr>
        <w:spacing w:after="100"/>
        <w:rPr>
          <w:sz w:val="22"/>
          <w:szCs w:val="22"/>
        </w:rPr>
      </w:pPr>
      <w:r>
        <w:t xml:space="preserve">Full funnel-level analytics and behavioral push segmentation (Phase 2) — MVP ships order-level attribution only.</w:t>
      </w:r>
    </w:p>
    <w:p>
      <w:pPr>
        <w:pStyle w:val="ListParagraph"/>
        <w:numPr>
          <w:ilvl w:val="0"/>
          <w:numId w:val="1"/>
        </w:numPr>
        <w:spacing w:after="100"/>
        <w:rPr>
          <w:sz w:val="22"/>
          <w:szCs w:val="22"/>
        </w:rPr>
      </w:pPr>
      <w:r>
        <w:t xml:space="preserve">Custom native development beyond the WebView-based architecture (full native rebuild is a future strategic option, not a Phase 0 commitment).</w:t>
      </w:r>
    </w:p>
    <w:p>
      <w:pPr>
        <w:pStyle w:val="Heading1"/>
        <w:spacing w:after="200" w:before="400"/>
      </w:pPr>
      <w:r>
        <w:t xml:space="preserve">6. Stakeholders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800"/>
      </w:tblGrid>
      <w:tr>
        <w:trPr>
          <w:tblHeader/>
        </w:trPr>
        <w:tc>
          <w:tcPr>
            <w:tcW w:type="dxa" w:w="2200"/>
            <w:shd w:fill="1F3864" w:val="clear"/>
            <w:vAlign w:val="center"/>
          </w:tcPr>
          <w:p>
            <w:r>
              <w:rPr>
                <w:b/>
                <w:bCs/>
                <w:color w:val="FFFFFF"/>
                <w:sz w:val="20"/>
                <w:szCs w:val="20"/>
              </w:rPr>
              <w:t xml:space="preserve">Stakeholder</w:t>
            </w:r>
          </w:p>
        </w:tc>
        <w:tc>
          <w:tcPr>
            <w:tcW w:type="dxa" w:w="3500"/>
            <w:shd w:fill="1F3864" w:val="clear"/>
            <w:vAlign w:val="center"/>
          </w:tcPr>
          <w:p>
            <w:r>
              <w:rPr>
                <w:b/>
                <w:bCs/>
                <w:color w:val="FFFFFF"/>
                <w:sz w:val="20"/>
                <w:szCs w:val="20"/>
              </w:rPr>
              <w:t xml:space="preserve">Role</w:t>
            </w:r>
          </w:p>
        </w:tc>
        <w:tc>
          <w:tcPr>
            <w:tcW w:type="dxa" w:w="3800"/>
            <w:shd w:fill="1F3864" w:val="clear"/>
            <w:vAlign w:val="center"/>
          </w:tcPr>
          <w:p>
            <w:r>
              <w:rPr>
                <w:b/>
                <w:bCs/>
                <w:color w:val="FFFFFF"/>
                <w:sz w:val="20"/>
                <w:szCs w:val="20"/>
              </w:rPr>
              <w:t xml:space="preserve">Interest</w:t>
            </w:r>
          </w:p>
        </w:tc>
      </w:tr>
      <w:tr>
        <w:tc>
          <w:tcPr>
            <w:tcW w:type="dxa" w:w="2200"/>
            <w:vAlign w:val="center"/>
          </w:tcPr>
          <w:p>
            <w:r>
              <w:rPr>
                <w:b w:val="false"/>
                <w:bCs w:val="false"/>
                <w:sz w:val="20"/>
                <w:szCs w:val="20"/>
              </w:rPr>
              <w:t xml:space="preserve">Product Owner</w:t>
            </w:r>
          </w:p>
        </w:tc>
        <w:tc>
          <w:tcPr>
            <w:tcW w:type="dxa" w:w="3500"/>
            <w:vAlign w:val="center"/>
          </w:tcPr>
          <w:p>
            <w:r>
              <w:rPr>
                <w:b w:val="false"/>
                <w:bCs w:val="false"/>
                <w:sz w:val="20"/>
                <w:szCs w:val="20"/>
              </w:rPr>
              <w:t xml:space="preserve">Defines vision, priorities, and business requirements</w:t>
            </w:r>
          </w:p>
        </w:tc>
        <w:tc>
          <w:tcPr>
            <w:tcW w:type="dxa" w:w="3800"/>
            <w:vAlign w:val="center"/>
          </w:tcPr>
          <w:p>
            <w:r>
              <w:rPr>
                <w:b w:val="false"/>
                <w:bCs w:val="false"/>
                <w:sz w:val="20"/>
                <w:szCs w:val="20"/>
              </w:rPr>
              <w:t xml:space="preserve">Product success and market fit</w:t>
            </w:r>
          </w:p>
        </w:tc>
      </w:tr>
      <w:tr>
        <w:tc>
          <w:tcPr>
            <w:tcW w:type="dxa" w:w="2200"/>
            <w:shd w:fill="F2F2F2" w:val="clear"/>
            <w:vAlign w:val="center"/>
          </w:tcPr>
          <w:p>
            <w:r>
              <w:rPr>
                <w:b w:val="false"/>
                <w:bCs w:val="false"/>
                <w:sz w:val="20"/>
                <w:szCs w:val="20"/>
              </w:rPr>
              <w:t xml:space="preserve">Merchant (End Customer)</w:t>
            </w:r>
          </w:p>
        </w:tc>
        <w:tc>
          <w:tcPr>
            <w:tcW w:type="dxa" w:w="3500"/>
            <w:shd w:fill="F2F2F2" w:val="clear"/>
            <w:vAlign w:val="center"/>
          </w:tcPr>
          <w:p>
            <w:r>
              <w:rPr>
                <w:b w:val="false"/>
                <w:bCs w:val="false"/>
                <w:sz w:val="20"/>
                <w:szCs w:val="20"/>
              </w:rPr>
              <w:t xml:space="preserve">Purchases and operates the app for their store</w:t>
            </w:r>
          </w:p>
        </w:tc>
        <w:tc>
          <w:tcPr>
            <w:tcW w:type="dxa" w:w="3800"/>
            <w:shd w:fill="F2F2F2" w:val="clear"/>
            <w:vAlign w:val="center"/>
          </w:tcPr>
          <w:p>
            <w:r>
              <w:rPr>
                <w:b w:val="false"/>
                <w:bCs w:val="false"/>
                <w:sz w:val="20"/>
                <w:szCs w:val="20"/>
              </w:rPr>
              <w:t xml:space="preserve">Increased app-driven revenue with minimal operational overhead</w:t>
            </w:r>
          </w:p>
        </w:tc>
      </w:tr>
      <w:tr>
        <w:tc>
          <w:tcPr>
            <w:tcW w:type="dxa" w:w="2200"/>
            <w:vAlign w:val="center"/>
          </w:tcPr>
          <w:p>
            <w:r>
              <w:rPr>
                <w:b w:val="false"/>
                <w:bCs w:val="false"/>
                <w:sz w:val="20"/>
                <w:szCs w:val="20"/>
              </w:rPr>
              <w:t xml:space="preserve">Shopper (End User)</w:t>
            </w:r>
          </w:p>
        </w:tc>
        <w:tc>
          <w:tcPr>
            <w:tcW w:type="dxa" w:w="3500"/>
            <w:vAlign w:val="center"/>
          </w:tcPr>
          <w:p>
            <w:r>
              <w:rPr>
                <w:b w:val="false"/>
                <w:bCs w:val="false"/>
                <w:sz w:val="20"/>
                <w:szCs w:val="20"/>
              </w:rPr>
              <w:t xml:space="preserve">Uses the mobile app to browse and purchase</w:t>
            </w:r>
          </w:p>
        </w:tc>
        <w:tc>
          <w:tcPr>
            <w:tcW w:type="dxa" w:w="3800"/>
            <w:vAlign w:val="center"/>
          </w:tcPr>
          <w:p>
            <w:r>
              <w:rPr>
                <w:b w:val="false"/>
                <w:bCs w:val="false"/>
                <w:sz w:val="20"/>
                <w:szCs w:val="20"/>
              </w:rPr>
              <w:t xml:space="preserve">Fast, relevant, non-intrusive shopping experience</w:t>
            </w:r>
          </w:p>
        </w:tc>
      </w:tr>
      <w:tr>
        <w:tc>
          <w:tcPr>
            <w:tcW w:type="dxa" w:w="2200"/>
            <w:shd w:fill="F2F2F2" w:val="clear"/>
            <w:vAlign w:val="center"/>
          </w:tcPr>
          <w:p>
            <w:r>
              <w:rPr>
                <w:b w:val="false"/>
                <w:bCs w:val="false"/>
                <w:sz w:val="20"/>
                <w:szCs w:val="20"/>
              </w:rPr>
              <w:t xml:space="preserve">Development Team / Partner</w:t>
            </w:r>
          </w:p>
        </w:tc>
        <w:tc>
          <w:tcPr>
            <w:tcW w:type="dxa" w:w="3500"/>
            <w:shd w:fill="F2F2F2" w:val="clear"/>
            <w:vAlign w:val="center"/>
          </w:tcPr>
          <w:p>
            <w:r>
              <w:rPr>
                <w:b w:val="false"/>
                <w:bCs w:val="false"/>
                <w:sz w:val="20"/>
                <w:szCs w:val="20"/>
              </w:rPr>
              <w:t xml:space="preserve">Builds and maintains the technical product</w:t>
            </w:r>
          </w:p>
        </w:tc>
        <w:tc>
          <w:tcPr>
            <w:tcW w:type="dxa" w:w="3800"/>
            <w:shd w:fill="F2F2F2" w:val="clear"/>
            <w:vAlign w:val="center"/>
          </w:tcPr>
          <w:p>
            <w:r>
              <w:rPr>
                <w:b w:val="false"/>
                <w:bCs w:val="false"/>
                <w:sz w:val="20"/>
                <w:szCs w:val="20"/>
              </w:rPr>
              <w:t xml:space="preserve">Clear, stable requirements and realistic scope across three platforms</w:t>
            </w:r>
          </w:p>
        </w:tc>
      </w:tr>
      <w:tr>
        <w:tc>
          <w:tcPr>
            <w:tcW w:type="dxa" w:w="2200"/>
            <w:vAlign w:val="center"/>
          </w:tcPr>
          <w:p>
            <w:r>
              <w:rPr>
                <w:b w:val="false"/>
                <w:bCs w:val="false"/>
                <w:sz w:val="20"/>
                <w:szCs w:val="20"/>
              </w:rPr>
              <w:t xml:space="preserve">Salla / Zid / WooCommerce (Platform Partners)</w:t>
            </w:r>
          </w:p>
        </w:tc>
        <w:tc>
          <w:tcPr>
            <w:tcW w:type="dxa" w:w="3500"/>
            <w:vAlign w:val="center"/>
          </w:tcPr>
          <w:p>
            <w:r>
              <w:rPr>
                <w:b w:val="false"/>
                <w:bCs w:val="false"/>
                <w:sz w:val="20"/>
                <w:szCs w:val="20"/>
              </w:rPr>
              <w:t xml:space="preserve">Host the merchant's underlying store and data across three distinct ecosystems</w:t>
            </w:r>
          </w:p>
        </w:tc>
        <w:tc>
          <w:tcPr>
            <w:tcW w:type="dxa" w:w="3800"/>
            <w:vAlign w:val="center"/>
          </w:tcPr>
          <w:p>
            <w:r>
              <w:rPr>
                <w:b w:val="false"/>
                <w:bCs w:val="false"/>
                <w:sz w:val="20"/>
                <w:szCs w:val="20"/>
              </w:rPr>
              <w:t xml:space="preserve">API stability and policy compliance on each platform; for Salla and Zid specifically, coexistence alongside their own native app offerings</w:t>
            </w:r>
          </w:p>
        </w:tc>
      </w:tr>
    </w:tbl>
    <w:p>
      <w:pPr>
        <w:pStyle w:val="Heading1"/>
        <w:spacing w:after="200" w:before="400"/>
      </w:pPr>
      <w:r>
        <w:t xml:space="preserve">7. Business Requirements</w:t>
      </w:r>
    </w:p>
    <w:p>
      <w:pPr>
        <w:spacing w:after="150"/>
      </w:pPr>
      <w:r>
        <w:rPr>
          <w:b w:val="false"/>
          <w:bCs w:val="false"/>
          <w:i w:val="false"/>
          <w:iCs w:val="false"/>
          <w:sz w:val="22"/>
          <w:szCs w:val="22"/>
        </w:rPr>
        <w:t xml:space="preserve">Requirements are expressed at business level and prioritized using MoSCoW (Must have / Should have / Could have).</w:t>
      </w:r>
    </w:p>
    <w:p>
      <w:pPr>
        <w:pStyle w:val="Heading2"/>
        <w:spacing w:after="150" w:before="300"/>
      </w:pPr>
      <w:r>
        <w:t xml:space="preserve">7.1 Core Application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2000"/>
      </w:tblGrid>
      <w:tr>
        <w:trPr>
          <w:tblHeader/>
        </w:trPr>
        <w:tc>
          <w:tcPr>
            <w:tcW w:type="dxa" w:w="1200"/>
            <w:shd w:fill="1F3864" w:val="clear"/>
            <w:vAlign w:val="center"/>
          </w:tcPr>
          <w:p>
            <w:r>
              <w:rPr>
                <w:b/>
                <w:bCs/>
                <w:color w:val="FFFFFF"/>
                <w:sz w:val="20"/>
                <w:szCs w:val="20"/>
              </w:rPr>
              <w:t xml:space="preserve">ID</w:t>
            </w:r>
          </w:p>
        </w:tc>
        <w:tc>
          <w:tcPr>
            <w:tcW w:type="dxa" w:w="6800"/>
            <w:shd w:fill="1F3864" w:val="clear"/>
            <w:vAlign w:val="center"/>
          </w:tcPr>
          <w:p>
            <w:r>
              <w:rPr>
                <w:b/>
                <w:bCs/>
                <w:color w:val="FFFFFF"/>
                <w:sz w:val="20"/>
                <w:szCs w:val="20"/>
              </w:rPr>
              <w:t xml:space="preserve">Requirement</w:t>
            </w:r>
          </w:p>
        </w:tc>
        <w:tc>
          <w:tcPr>
            <w:tcW w:type="dxa" w:w="2000"/>
            <w:shd w:fill="1F3864" w:val="clear"/>
            <w:vAlign w:val="center"/>
          </w:tcPr>
          <w:p>
            <w:r>
              <w:rPr>
                <w:b/>
                <w:bCs/>
                <w:color w:val="FFFFFF"/>
                <w:sz w:val="20"/>
                <w:szCs w:val="20"/>
              </w:rPr>
              <w:t xml:space="preserve">Priority</w:t>
            </w:r>
          </w:p>
        </w:tc>
      </w:tr>
      <w:tr>
        <w:tc>
          <w:tcPr>
            <w:tcW w:type="dxa" w:w="1200"/>
            <w:vAlign w:val="center"/>
          </w:tcPr>
          <w:p>
            <w:r>
              <w:rPr>
                <w:b w:val="false"/>
                <w:bCs w:val="false"/>
                <w:sz w:val="20"/>
                <w:szCs w:val="20"/>
              </w:rPr>
              <w:t xml:space="preserve">BR-001</w:t>
            </w:r>
          </w:p>
        </w:tc>
        <w:tc>
          <w:tcPr>
            <w:tcW w:type="dxa" w:w="6800"/>
            <w:vAlign w:val="center"/>
          </w:tcPr>
          <w:p>
            <w:r>
              <w:rPr>
                <w:b w:val="false"/>
                <w:bCs w:val="false"/>
                <w:sz w:val="20"/>
                <w:szCs w:val="20"/>
              </w:rPr>
              <w:t xml:space="preserve">The system shall generate a native iOS and Android application from the merchant's existing online store, supporting Salla, Zid, and WooCommerce as connected platforms at MVP launch.</w:t>
            </w:r>
          </w:p>
        </w:tc>
        <w:tc>
          <w:tcPr>
            <w:tcW w:type="dxa" w:w="2000"/>
            <w:vAlign w:val="center"/>
          </w:tcPr>
          <w:p>
            <w:r>
              <w:rPr>
                <w:b w:val="false"/>
                <w:bCs w:val="false"/>
                <w:sz w:val="20"/>
                <w:szCs w:val="20"/>
              </w:rPr>
              <w:t xml:space="preserve">Must</w:t>
            </w:r>
          </w:p>
        </w:tc>
      </w:tr>
      <w:tr>
        <w:tc>
          <w:tcPr>
            <w:tcW w:type="dxa" w:w="1200"/>
            <w:shd w:fill="F2F2F2" w:val="clear"/>
            <w:vAlign w:val="center"/>
          </w:tcPr>
          <w:p>
            <w:r>
              <w:rPr>
                <w:b w:val="false"/>
                <w:bCs w:val="false"/>
                <w:sz w:val="20"/>
                <w:szCs w:val="20"/>
              </w:rPr>
              <w:t xml:space="preserve">BR-002</w:t>
            </w:r>
          </w:p>
        </w:tc>
        <w:tc>
          <w:tcPr>
            <w:tcW w:type="dxa" w:w="6800"/>
            <w:shd w:fill="F2F2F2" w:val="clear"/>
            <w:vAlign w:val="center"/>
          </w:tcPr>
          <w:p>
            <w:r>
              <w:rPr>
                <w:b w:val="false"/>
                <w:bCs w:val="false"/>
                <w:sz w:val="20"/>
                <w:szCs w:val="20"/>
              </w:rPr>
              <w:t xml:space="preserve">The application shall reflect live product, price, and inventory data from the merchant's store without manual re-entry.</w:t>
            </w:r>
          </w:p>
        </w:tc>
        <w:tc>
          <w:tcPr>
            <w:tcW w:type="dxa" w:w="2000"/>
            <w:shd w:fill="F2F2F2" w:val="clear"/>
            <w:vAlign w:val="center"/>
          </w:tcPr>
          <w:p>
            <w:r>
              <w:rPr>
                <w:b w:val="false"/>
                <w:bCs w:val="false"/>
                <w:sz w:val="20"/>
                <w:szCs w:val="20"/>
              </w:rPr>
              <w:t xml:space="preserve">Must</w:t>
            </w:r>
          </w:p>
        </w:tc>
      </w:tr>
      <w:tr>
        <w:tc>
          <w:tcPr>
            <w:tcW w:type="dxa" w:w="1200"/>
            <w:vAlign w:val="center"/>
          </w:tcPr>
          <w:p>
            <w:r>
              <w:rPr>
                <w:b w:val="false"/>
                <w:bCs w:val="false"/>
                <w:sz w:val="20"/>
                <w:szCs w:val="20"/>
              </w:rPr>
              <w:t xml:space="preserve">BR-003</w:t>
            </w:r>
          </w:p>
        </w:tc>
        <w:tc>
          <w:tcPr>
            <w:tcW w:type="dxa" w:w="6800"/>
            <w:vAlign w:val="center"/>
          </w:tcPr>
          <w:p>
            <w:r>
              <w:rPr>
                <w:b w:val="false"/>
                <w:bCs w:val="false"/>
                <w:sz w:val="20"/>
                <w:szCs w:val="20"/>
              </w:rPr>
              <w:t xml:space="preserve">The application shall support full merchant branding (logo, color scheme, app icon, splash screen).</w:t>
            </w:r>
          </w:p>
        </w:tc>
        <w:tc>
          <w:tcPr>
            <w:tcW w:type="dxa" w:w="2000"/>
            <w:vAlign w:val="center"/>
          </w:tcPr>
          <w:p>
            <w:r>
              <w:rPr>
                <w:b w:val="false"/>
                <w:bCs w:val="false"/>
                <w:sz w:val="20"/>
                <w:szCs w:val="20"/>
              </w:rPr>
              <w:t xml:space="preserve">Must</w:t>
            </w:r>
          </w:p>
        </w:tc>
      </w:tr>
      <w:tr>
        <w:tc>
          <w:tcPr>
            <w:tcW w:type="dxa" w:w="1200"/>
            <w:shd w:fill="F2F2F2" w:val="clear"/>
            <w:vAlign w:val="center"/>
          </w:tcPr>
          <w:p>
            <w:r>
              <w:rPr>
                <w:b w:val="false"/>
                <w:bCs w:val="false"/>
                <w:sz w:val="20"/>
                <w:szCs w:val="20"/>
              </w:rPr>
              <w:t xml:space="preserve">BR-004</w:t>
            </w:r>
          </w:p>
        </w:tc>
        <w:tc>
          <w:tcPr>
            <w:tcW w:type="dxa" w:w="6800"/>
            <w:shd w:fill="F2F2F2" w:val="clear"/>
            <w:vAlign w:val="center"/>
          </w:tcPr>
          <w:p>
            <w:r>
              <w:rPr>
                <w:b w:val="false"/>
                <w:bCs w:val="false"/>
                <w:sz w:val="20"/>
                <w:szCs w:val="20"/>
              </w:rPr>
              <w:t xml:space="preserve">The store-connector architecture shall be built platform-agnostically so additional platforms (e.g., Shopify) can be added post-MVP without a shell rebuild.</w:t>
            </w:r>
          </w:p>
        </w:tc>
        <w:tc>
          <w:tcPr>
            <w:tcW w:type="dxa" w:w="2000"/>
            <w:shd w:fill="F2F2F2" w:val="clear"/>
            <w:vAlign w:val="center"/>
          </w:tcPr>
          <w:p>
            <w:r>
              <w:rPr>
                <w:b w:val="false"/>
                <w:bCs w:val="false"/>
                <w:sz w:val="20"/>
                <w:szCs w:val="20"/>
              </w:rPr>
              <w:t xml:space="preserve">Must</w:t>
            </w:r>
          </w:p>
        </w:tc>
      </w:tr>
    </w:tbl>
    <w:p>
      <w:pPr>
        <w:pStyle w:val="Heading2"/>
        <w:spacing w:after="150" w:before="300"/>
      </w:pPr>
      <w:r>
        <w:t xml:space="preserve">7.2 Merchant Dashboard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2000"/>
      </w:tblGrid>
      <w:tr>
        <w:trPr>
          <w:tblHeader/>
        </w:trPr>
        <w:tc>
          <w:tcPr>
            <w:tcW w:type="dxa" w:w="1200"/>
            <w:shd w:fill="1F3864" w:val="clear"/>
            <w:vAlign w:val="center"/>
          </w:tcPr>
          <w:p>
            <w:r>
              <w:rPr>
                <w:b/>
                <w:bCs/>
                <w:color w:val="FFFFFF"/>
                <w:sz w:val="20"/>
                <w:szCs w:val="20"/>
              </w:rPr>
              <w:t xml:space="preserve">ID</w:t>
            </w:r>
          </w:p>
        </w:tc>
        <w:tc>
          <w:tcPr>
            <w:tcW w:type="dxa" w:w="6800"/>
            <w:shd w:fill="1F3864" w:val="clear"/>
            <w:vAlign w:val="center"/>
          </w:tcPr>
          <w:p>
            <w:r>
              <w:rPr>
                <w:b/>
                <w:bCs/>
                <w:color w:val="FFFFFF"/>
                <w:sz w:val="20"/>
                <w:szCs w:val="20"/>
              </w:rPr>
              <w:t xml:space="preserve">Requirement</w:t>
            </w:r>
          </w:p>
        </w:tc>
        <w:tc>
          <w:tcPr>
            <w:tcW w:type="dxa" w:w="2000"/>
            <w:shd w:fill="1F3864" w:val="clear"/>
            <w:vAlign w:val="center"/>
          </w:tcPr>
          <w:p>
            <w:r>
              <w:rPr>
                <w:b/>
                <w:bCs/>
                <w:color w:val="FFFFFF"/>
                <w:sz w:val="20"/>
                <w:szCs w:val="20"/>
              </w:rPr>
              <w:t xml:space="preserve">Priority</w:t>
            </w:r>
          </w:p>
        </w:tc>
      </w:tr>
      <w:tr>
        <w:tc>
          <w:tcPr>
            <w:tcW w:type="dxa" w:w="1200"/>
            <w:vAlign w:val="center"/>
          </w:tcPr>
          <w:p>
            <w:r>
              <w:rPr>
                <w:b w:val="false"/>
                <w:bCs w:val="false"/>
                <w:sz w:val="20"/>
                <w:szCs w:val="20"/>
              </w:rPr>
              <w:t xml:space="preserve">BR-010</w:t>
            </w:r>
          </w:p>
        </w:tc>
        <w:tc>
          <w:tcPr>
            <w:tcW w:type="dxa" w:w="6800"/>
            <w:vAlign w:val="center"/>
          </w:tcPr>
          <w:p>
            <w:r>
              <w:rPr>
                <w:b w:val="false"/>
                <w:bCs w:val="false"/>
                <w:sz w:val="20"/>
                <w:szCs w:val="20"/>
              </w:rPr>
              <w:t xml:space="preserve">The system shall provide merchants with a dedicated login separate from their underlying store platform credentials.</w:t>
            </w:r>
          </w:p>
        </w:tc>
        <w:tc>
          <w:tcPr>
            <w:tcW w:type="dxa" w:w="2000"/>
            <w:vAlign w:val="center"/>
          </w:tcPr>
          <w:p>
            <w:r>
              <w:rPr>
                <w:b w:val="false"/>
                <w:bCs w:val="false"/>
                <w:sz w:val="20"/>
                <w:szCs w:val="20"/>
              </w:rPr>
              <w:t xml:space="preserve">Must</w:t>
            </w:r>
          </w:p>
        </w:tc>
      </w:tr>
      <w:tr>
        <w:tc>
          <w:tcPr>
            <w:tcW w:type="dxa" w:w="1200"/>
            <w:shd w:fill="F2F2F2" w:val="clear"/>
            <w:vAlign w:val="center"/>
          </w:tcPr>
          <w:p>
            <w:r>
              <w:rPr>
                <w:b w:val="false"/>
                <w:bCs w:val="false"/>
                <w:sz w:val="20"/>
                <w:szCs w:val="20"/>
              </w:rPr>
              <w:t xml:space="preserve">BR-011</w:t>
            </w:r>
          </w:p>
        </w:tc>
        <w:tc>
          <w:tcPr>
            <w:tcW w:type="dxa" w:w="6800"/>
            <w:shd w:fill="F2F2F2" w:val="clear"/>
            <w:vAlign w:val="center"/>
          </w:tcPr>
          <w:p>
            <w:r>
              <w:rPr>
                <w:b w:val="false"/>
                <w:bCs w:val="false"/>
                <w:sz w:val="20"/>
                <w:szCs w:val="20"/>
              </w:rPr>
              <w:t xml:space="preserve">The dashboard shall allow merchants to compose and send push notifications, including scheduling for future delivery.</w:t>
            </w:r>
          </w:p>
        </w:tc>
        <w:tc>
          <w:tcPr>
            <w:tcW w:type="dxa" w:w="2000"/>
            <w:shd w:fill="F2F2F2" w:val="clear"/>
            <w:vAlign w:val="center"/>
          </w:tcPr>
          <w:p>
            <w:r>
              <w:rPr>
                <w:b w:val="false"/>
                <w:bCs w:val="false"/>
                <w:sz w:val="20"/>
                <w:szCs w:val="20"/>
              </w:rPr>
              <w:t xml:space="preserve">Must</w:t>
            </w:r>
          </w:p>
        </w:tc>
      </w:tr>
      <w:tr>
        <w:tc>
          <w:tcPr>
            <w:tcW w:type="dxa" w:w="1200"/>
            <w:vAlign w:val="center"/>
          </w:tcPr>
          <w:p>
            <w:r>
              <w:rPr>
                <w:b w:val="false"/>
                <w:bCs w:val="false"/>
                <w:sz w:val="20"/>
                <w:szCs w:val="20"/>
              </w:rPr>
              <w:t xml:space="preserve">BR-012</w:t>
            </w:r>
          </w:p>
        </w:tc>
        <w:tc>
          <w:tcPr>
            <w:tcW w:type="dxa" w:w="6800"/>
            <w:vAlign w:val="center"/>
          </w:tcPr>
          <w:p>
            <w:r>
              <w:rPr>
                <w:b w:val="false"/>
                <w:bCs w:val="false"/>
                <w:sz w:val="20"/>
                <w:szCs w:val="20"/>
              </w:rPr>
              <w:t xml:space="preserve">The dashboard shall display core performance metrics: installs, active users, and notification engagement.</w:t>
            </w:r>
          </w:p>
        </w:tc>
        <w:tc>
          <w:tcPr>
            <w:tcW w:type="dxa" w:w="2000"/>
            <w:vAlign w:val="center"/>
          </w:tcPr>
          <w:p>
            <w:r>
              <w:rPr>
                <w:b w:val="false"/>
                <w:bCs w:val="false"/>
                <w:sz w:val="20"/>
                <w:szCs w:val="20"/>
              </w:rPr>
              <w:t xml:space="preserve">Must</w:t>
            </w:r>
          </w:p>
        </w:tc>
      </w:tr>
      <w:tr>
        <w:tc>
          <w:tcPr>
            <w:tcW w:type="dxa" w:w="1200"/>
            <w:shd w:fill="F2F2F2" w:val="clear"/>
            <w:vAlign w:val="center"/>
          </w:tcPr>
          <w:p>
            <w:r>
              <w:rPr>
                <w:b w:val="false"/>
                <w:bCs w:val="false"/>
                <w:sz w:val="20"/>
                <w:szCs w:val="20"/>
              </w:rPr>
              <w:t xml:space="preserve">BR-013</w:t>
            </w:r>
          </w:p>
        </w:tc>
        <w:tc>
          <w:tcPr>
            <w:tcW w:type="dxa" w:w="6800"/>
            <w:shd w:fill="F2F2F2" w:val="clear"/>
            <w:vAlign w:val="center"/>
          </w:tcPr>
          <w:p>
            <w:r>
              <w:rPr>
                <w:b w:val="false"/>
                <w:bCs w:val="false"/>
                <w:sz w:val="20"/>
                <w:szCs w:val="20"/>
              </w:rPr>
              <w:t xml:space="preserve">The dashboard shall allow merchants to enable or disable individual CRO features without contacting support.</w:t>
            </w:r>
          </w:p>
        </w:tc>
        <w:tc>
          <w:tcPr>
            <w:tcW w:type="dxa" w:w="2000"/>
            <w:shd w:fill="F2F2F2" w:val="clear"/>
            <w:vAlign w:val="center"/>
          </w:tcPr>
          <w:p>
            <w:r>
              <w:rPr>
                <w:b w:val="false"/>
                <w:bCs w:val="false"/>
                <w:sz w:val="20"/>
                <w:szCs w:val="20"/>
              </w:rPr>
              <w:t xml:space="preserve">Should</w:t>
            </w:r>
          </w:p>
        </w:tc>
      </w:tr>
      <w:tr>
        <w:tc>
          <w:tcPr>
            <w:tcW w:type="dxa" w:w="1200"/>
            <w:vAlign w:val="center"/>
          </w:tcPr>
          <w:p>
            <w:r>
              <w:rPr>
                <w:b w:val="false"/>
                <w:bCs w:val="false"/>
                <w:sz w:val="20"/>
                <w:szCs w:val="20"/>
              </w:rPr>
              <w:t xml:space="preserve">BR-014</w:t>
            </w:r>
          </w:p>
        </w:tc>
        <w:tc>
          <w:tcPr>
            <w:tcW w:type="dxa" w:w="6800"/>
            <w:vAlign w:val="center"/>
          </w:tcPr>
          <w:p>
            <w:r>
              <w:rPr>
                <w:b w:val="false"/>
                <w:bCs w:val="false"/>
                <w:sz w:val="20"/>
                <w:szCs w:val="20"/>
              </w:rPr>
              <w:t xml:space="preserve">The dashboard shall present app-attributed revenue as a distinct, clearly labeled metric, including a note on the attribution methodology in use.</w:t>
            </w:r>
          </w:p>
        </w:tc>
        <w:tc>
          <w:tcPr>
            <w:tcW w:type="dxa" w:w="2000"/>
            <w:vAlign w:val="center"/>
          </w:tcPr>
          <w:p>
            <w:r>
              <w:rPr>
                <w:b w:val="false"/>
                <w:bCs w:val="false"/>
                <w:sz w:val="20"/>
                <w:szCs w:val="20"/>
              </w:rPr>
              <w:t xml:space="preserve">Must</w:t>
            </w:r>
          </w:p>
        </w:tc>
      </w:tr>
      <w:tr>
        <w:tc>
          <w:tcPr>
            <w:tcW w:type="dxa" w:w="1200"/>
            <w:shd w:fill="F2F2F2" w:val="clear"/>
            <w:vAlign w:val="center"/>
          </w:tcPr>
          <w:p>
            <w:r>
              <w:rPr>
                <w:b w:val="false"/>
                <w:bCs w:val="false"/>
                <w:sz w:val="20"/>
                <w:szCs w:val="20"/>
              </w:rPr>
              <w:t xml:space="preserve">BR-015</w:t>
            </w:r>
          </w:p>
        </w:tc>
        <w:tc>
          <w:tcPr>
            <w:tcW w:type="dxa" w:w="6800"/>
            <w:shd w:fill="F2F2F2" w:val="clear"/>
            <w:vAlign w:val="center"/>
          </w:tcPr>
          <w:p>
            <w:r>
              <w:rPr>
                <w:b w:val="false"/>
                <w:bCs w:val="false"/>
                <w:sz w:val="20"/>
                <w:szCs w:val="20"/>
              </w:rPr>
              <w:t xml:space="preserve">The dashboard shall indicate which underlying platform (Salla, Zid, WooCommerce) a merchant's store is connected to, and surface any platform-specific feature limitations.</w:t>
            </w:r>
          </w:p>
        </w:tc>
        <w:tc>
          <w:tcPr>
            <w:tcW w:type="dxa" w:w="2000"/>
            <w:shd w:fill="F2F2F2" w:val="clear"/>
            <w:vAlign w:val="center"/>
          </w:tcPr>
          <w:p>
            <w:r>
              <w:rPr>
                <w:b w:val="false"/>
                <w:bCs w:val="false"/>
                <w:sz w:val="20"/>
                <w:szCs w:val="20"/>
              </w:rPr>
              <w:t xml:space="preserve">Should</w:t>
            </w:r>
          </w:p>
        </w:tc>
      </w:tr>
    </w:tbl>
    <w:p>
      <w:pPr>
        <w:pStyle w:val="Heading2"/>
        <w:spacing w:after="150" w:before="300"/>
      </w:pPr>
      <w:r>
        <w:t xml:space="preserve">7.3 In-App Conversion Rate Optimization (CRO) Toolkit — Phase 1</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2000"/>
      </w:tblGrid>
      <w:tr>
        <w:trPr>
          <w:tblHeader/>
        </w:trPr>
        <w:tc>
          <w:tcPr>
            <w:tcW w:type="dxa" w:w="1200"/>
            <w:shd w:fill="1F3864" w:val="clear"/>
            <w:vAlign w:val="center"/>
          </w:tcPr>
          <w:p>
            <w:r>
              <w:rPr>
                <w:b/>
                <w:bCs/>
                <w:color w:val="FFFFFF"/>
                <w:sz w:val="20"/>
                <w:szCs w:val="20"/>
              </w:rPr>
              <w:t xml:space="preserve">ID</w:t>
            </w:r>
          </w:p>
        </w:tc>
        <w:tc>
          <w:tcPr>
            <w:tcW w:type="dxa" w:w="6800"/>
            <w:shd w:fill="1F3864" w:val="clear"/>
            <w:vAlign w:val="center"/>
          </w:tcPr>
          <w:p>
            <w:r>
              <w:rPr>
                <w:b/>
                <w:bCs/>
                <w:color w:val="FFFFFF"/>
                <w:sz w:val="20"/>
                <w:szCs w:val="20"/>
              </w:rPr>
              <w:t xml:space="preserve">Requirement</w:t>
            </w:r>
          </w:p>
        </w:tc>
        <w:tc>
          <w:tcPr>
            <w:tcW w:type="dxa" w:w="2000"/>
            <w:shd w:fill="1F3864" w:val="clear"/>
            <w:vAlign w:val="center"/>
          </w:tcPr>
          <w:p>
            <w:r>
              <w:rPr>
                <w:b/>
                <w:bCs/>
                <w:color w:val="FFFFFF"/>
                <w:sz w:val="20"/>
                <w:szCs w:val="20"/>
              </w:rPr>
              <w:t xml:space="preserve">Priority</w:t>
            </w:r>
          </w:p>
        </w:tc>
      </w:tr>
      <w:tr>
        <w:tc>
          <w:tcPr>
            <w:tcW w:type="dxa" w:w="1200"/>
            <w:vAlign w:val="center"/>
          </w:tcPr>
          <w:p>
            <w:r>
              <w:rPr>
                <w:b w:val="false"/>
                <w:bCs w:val="false"/>
                <w:sz w:val="20"/>
                <w:szCs w:val="20"/>
              </w:rPr>
              <w:t xml:space="preserve">BR-020</w:t>
            </w:r>
          </w:p>
        </w:tc>
        <w:tc>
          <w:tcPr>
            <w:tcW w:type="dxa" w:w="6800"/>
            <w:vAlign w:val="center"/>
          </w:tcPr>
          <w:p>
            <w:r>
              <w:rPr>
                <w:b w:val="false"/>
                <w:bCs w:val="false"/>
                <w:sz w:val="20"/>
                <w:szCs w:val="20"/>
              </w:rPr>
              <w:t xml:space="preserve">The application shall support countdown-timer displays on promotional offers.</w:t>
            </w:r>
          </w:p>
        </w:tc>
        <w:tc>
          <w:tcPr>
            <w:tcW w:type="dxa" w:w="2000"/>
            <w:vAlign w:val="center"/>
          </w:tcPr>
          <w:p>
            <w:r>
              <w:rPr>
                <w:b w:val="false"/>
                <w:bCs w:val="false"/>
                <w:sz w:val="20"/>
                <w:szCs w:val="20"/>
              </w:rPr>
              <w:t xml:space="preserve">Should</w:t>
            </w:r>
          </w:p>
        </w:tc>
      </w:tr>
      <w:tr>
        <w:tc>
          <w:tcPr>
            <w:tcW w:type="dxa" w:w="1200"/>
            <w:shd w:fill="F2F2F2" w:val="clear"/>
            <w:vAlign w:val="center"/>
          </w:tcPr>
          <w:p>
            <w:r>
              <w:rPr>
                <w:b w:val="false"/>
                <w:bCs w:val="false"/>
                <w:sz w:val="20"/>
                <w:szCs w:val="20"/>
              </w:rPr>
              <w:t xml:space="preserve">BR-021</w:t>
            </w:r>
          </w:p>
        </w:tc>
        <w:tc>
          <w:tcPr>
            <w:tcW w:type="dxa" w:w="6800"/>
            <w:shd w:fill="F2F2F2" w:val="clear"/>
            <w:vAlign w:val="center"/>
          </w:tcPr>
          <w:p>
            <w:r>
              <w:rPr>
                <w:b w:val="false"/>
                <w:bCs w:val="false"/>
                <w:sz w:val="20"/>
                <w:szCs w:val="20"/>
              </w:rPr>
              <w:t xml:space="preserve">The application shall support stock-scarcity indicators on product pages.</w:t>
            </w:r>
          </w:p>
        </w:tc>
        <w:tc>
          <w:tcPr>
            <w:tcW w:type="dxa" w:w="2000"/>
            <w:shd w:fill="F2F2F2" w:val="clear"/>
            <w:vAlign w:val="center"/>
          </w:tcPr>
          <w:p>
            <w:r>
              <w:rPr>
                <w:b w:val="false"/>
                <w:bCs w:val="false"/>
                <w:sz w:val="20"/>
                <w:szCs w:val="20"/>
              </w:rPr>
              <w:t xml:space="preserve">Should</w:t>
            </w:r>
          </w:p>
        </w:tc>
      </w:tr>
      <w:tr>
        <w:tc>
          <w:tcPr>
            <w:tcW w:type="dxa" w:w="1200"/>
            <w:vAlign w:val="center"/>
          </w:tcPr>
          <w:p>
            <w:r>
              <w:rPr>
                <w:b w:val="false"/>
                <w:bCs w:val="false"/>
                <w:sz w:val="20"/>
                <w:szCs w:val="20"/>
              </w:rPr>
              <w:t xml:space="preserve">BR-022</w:t>
            </w:r>
          </w:p>
        </w:tc>
        <w:tc>
          <w:tcPr>
            <w:tcW w:type="dxa" w:w="6800"/>
            <w:vAlign w:val="center"/>
          </w:tcPr>
          <w:p>
            <w:r>
              <w:rPr>
                <w:b w:val="false"/>
                <w:bCs w:val="false"/>
                <w:sz w:val="20"/>
                <w:szCs w:val="20"/>
              </w:rPr>
              <w:t xml:space="preserve">The application shall support social-proof notifications (e.g., recent purchase activity).</w:t>
            </w:r>
          </w:p>
        </w:tc>
        <w:tc>
          <w:tcPr>
            <w:tcW w:type="dxa" w:w="2000"/>
            <w:vAlign w:val="center"/>
          </w:tcPr>
          <w:p>
            <w:r>
              <w:rPr>
                <w:b w:val="false"/>
                <w:bCs w:val="false"/>
                <w:sz w:val="20"/>
                <w:szCs w:val="20"/>
              </w:rPr>
              <w:t xml:space="preserve">Should</w:t>
            </w:r>
          </w:p>
        </w:tc>
      </w:tr>
      <w:tr>
        <w:tc>
          <w:tcPr>
            <w:tcW w:type="dxa" w:w="1200"/>
            <w:shd w:fill="F2F2F2" w:val="clear"/>
            <w:vAlign w:val="center"/>
          </w:tcPr>
          <w:p>
            <w:r>
              <w:rPr>
                <w:b w:val="false"/>
                <w:bCs w:val="false"/>
                <w:sz w:val="20"/>
                <w:szCs w:val="20"/>
              </w:rPr>
              <w:t xml:space="preserve">BR-023</w:t>
            </w:r>
          </w:p>
        </w:tc>
        <w:tc>
          <w:tcPr>
            <w:tcW w:type="dxa" w:w="6800"/>
            <w:shd w:fill="F2F2F2" w:val="clear"/>
            <w:vAlign w:val="center"/>
          </w:tcPr>
          <w:p>
            <w:r>
              <w:rPr>
                <w:b w:val="false"/>
                <w:bCs w:val="false"/>
                <w:sz w:val="20"/>
                <w:szCs w:val="20"/>
              </w:rPr>
              <w:t xml:space="preserve">The application shall trigger an automated notification to recover abandoned shopping carts.</w:t>
            </w:r>
          </w:p>
        </w:tc>
        <w:tc>
          <w:tcPr>
            <w:tcW w:type="dxa" w:w="2000"/>
            <w:shd w:fill="F2F2F2" w:val="clear"/>
            <w:vAlign w:val="center"/>
          </w:tcPr>
          <w:p>
            <w:r>
              <w:rPr>
                <w:b w:val="false"/>
                <w:bCs w:val="false"/>
                <w:sz w:val="20"/>
                <w:szCs w:val="20"/>
              </w:rPr>
              <w:t xml:space="preserve">Should</w:t>
            </w:r>
          </w:p>
        </w:tc>
      </w:tr>
      <w:tr>
        <w:tc>
          <w:tcPr>
            <w:tcW w:type="dxa" w:w="1200"/>
            <w:vAlign w:val="center"/>
          </w:tcPr>
          <w:p>
            <w:r>
              <w:rPr>
                <w:b w:val="false"/>
                <w:bCs w:val="false"/>
                <w:sz w:val="20"/>
                <w:szCs w:val="20"/>
              </w:rPr>
              <w:t xml:space="preserve">BR-024</w:t>
            </w:r>
          </w:p>
        </w:tc>
        <w:tc>
          <w:tcPr>
            <w:tcW w:type="dxa" w:w="6800"/>
            <w:vAlign w:val="center"/>
          </w:tcPr>
          <w:p>
            <w:r>
              <w:rPr>
                <w:b w:val="false"/>
                <w:bCs w:val="false"/>
                <w:sz w:val="20"/>
                <w:szCs w:val="20"/>
              </w:rPr>
              <w:t xml:space="preserve">The application shall support a persistent, dismissible discount banner.</w:t>
            </w:r>
          </w:p>
        </w:tc>
        <w:tc>
          <w:tcPr>
            <w:tcW w:type="dxa" w:w="2000"/>
            <w:vAlign w:val="center"/>
          </w:tcPr>
          <w:p>
            <w:r>
              <w:rPr>
                <w:b w:val="false"/>
                <w:bCs w:val="false"/>
                <w:sz w:val="20"/>
                <w:szCs w:val="20"/>
              </w:rPr>
              <w:t xml:space="preserve">Could</w:t>
            </w:r>
          </w:p>
        </w:tc>
      </w:tr>
      <w:tr>
        <w:tc>
          <w:tcPr>
            <w:tcW w:type="dxa" w:w="1200"/>
            <w:shd w:fill="F2F2F2" w:val="clear"/>
            <w:vAlign w:val="center"/>
          </w:tcPr>
          <w:p>
            <w:r>
              <w:rPr>
                <w:b w:val="false"/>
                <w:bCs w:val="false"/>
                <w:sz w:val="20"/>
                <w:szCs w:val="20"/>
              </w:rPr>
              <w:t xml:space="preserve">BR-025</w:t>
            </w:r>
          </w:p>
        </w:tc>
        <w:tc>
          <w:tcPr>
            <w:tcW w:type="dxa" w:w="6800"/>
            <w:shd w:fill="F2F2F2" w:val="clear"/>
            <w:vAlign w:val="center"/>
          </w:tcPr>
          <w:p>
            <w:r>
              <w:rPr>
                <w:b w:val="false"/>
                <w:bCs w:val="false"/>
                <w:sz w:val="20"/>
                <w:szCs w:val="20"/>
              </w:rPr>
              <w:t xml:space="preserve">The application shall support wishlist functionality with back-in-stock alerts.</w:t>
            </w:r>
          </w:p>
        </w:tc>
        <w:tc>
          <w:tcPr>
            <w:tcW w:type="dxa" w:w="2000"/>
            <w:shd w:fill="F2F2F2" w:val="clear"/>
            <w:vAlign w:val="center"/>
          </w:tcPr>
          <w:p>
            <w:r>
              <w:rPr>
                <w:b w:val="false"/>
                <w:bCs w:val="false"/>
                <w:sz w:val="20"/>
                <w:szCs w:val="20"/>
              </w:rPr>
              <w:t xml:space="preserve">Could</w:t>
            </w:r>
          </w:p>
        </w:tc>
      </w:tr>
    </w:tbl>
    <w:p>
      <w:pPr>
        <w:pStyle w:val="Heading2"/>
        <w:spacing w:after="150" w:before="300"/>
      </w:pPr>
      <w:r>
        <w:t xml:space="preserve">7.4 Push Notification Engine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2000"/>
      </w:tblGrid>
      <w:tr>
        <w:trPr>
          <w:tblHeader/>
        </w:trPr>
        <w:tc>
          <w:tcPr>
            <w:tcW w:type="dxa" w:w="1200"/>
            <w:shd w:fill="1F3864" w:val="clear"/>
            <w:vAlign w:val="center"/>
          </w:tcPr>
          <w:p>
            <w:r>
              <w:rPr>
                <w:b/>
                <w:bCs/>
                <w:color w:val="FFFFFF"/>
                <w:sz w:val="20"/>
                <w:szCs w:val="20"/>
              </w:rPr>
              <w:t xml:space="preserve">ID</w:t>
            </w:r>
          </w:p>
        </w:tc>
        <w:tc>
          <w:tcPr>
            <w:tcW w:type="dxa" w:w="6800"/>
            <w:shd w:fill="1F3864" w:val="clear"/>
            <w:vAlign w:val="center"/>
          </w:tcPr>
          <w:p>
            <w:r>
              <w:rPr>
                <w:b/>
                <w:bCs/>
                <w:color w:val="FFFFFF"/>
                <w:sz w:val="20"/>
                <w:szCs w:val="20"/>
              </w:rPr>
              <w:t xml:space="preserve">Requirement</w:t>
            </w:r>
          </w:p>
        </w:tc>
        <w:tc>
          <w:tcPr>
            <w:tcW w:type="dxa" w:w="2000"/>
            <w:shd w:fill="1F3864" w:val="clear"/>
            <w:vAlign w:val="center"/>
          </w:tcPr>
          <w:p>
            <w:r>
              <w:rPr>
                <w:b/>
                <w:bCs/>
                <w:color w:val="FFFFFF"/>
                <w:sz w:val="20"/>
                <w:szCs w:val="20"/>
              </w:rPr>
              <w:t xml:space="preserve">Priority</w:t>
            </w:r>
          </w:p>
        </w:tc>
      </w:tr>
      <w:tr>
        <w:tc>
          <w:tcPr>
            <w:tcW w:type="dxa" w:w="1200"/>
            <w:vAlign w:val="center"/>
          </w:tcPr>
          <w:p>
            <w:r>
              <w:rPr>
                <w:b w:val="false"/>
                <w:bCs w:val="false"/>
                <w:sz w:val="20"/>
                <w:szCs w:val="20"/>
              </w:rPr>
              <w:t xml:space="preserve">BR-030</w:t>
            </w:r>
          </w:p>
        </w:tc>
        <w:tc>
          <w:tcPr>
            <w:tcW w:type="dxa" w:w="6800"/>
            <w:vAlign w:val="center"/>
          </w:tcPr>
          <w:p>
            <w:r>
              <w:rPr>
                <w:b w:val="false"/>
                <w:bCs w:val="false"/>
                <w:sz w:val="20"/>
                <w:szCs w:val="20"/>
              </w:rPr>
              <w:t xml:space="preserve">The system shall support broadcast notifications to the full user base.</w:t>
            </w:r>
          </w:p>
        </w:tc>
        <w:tc>
          <w:tcPr>
            <w:tcW w:type="dxa" w:w="2000"/>
            <w:vAlign w:val="center"/>
          </w:tcPr>
          <w:p>
            <w:r>
              <w:rPr>
                <w:b w:val="false"/>
                <w:bCs w:val="false"/>
                <w:sz w:val="20"/>
                <w:szCs w:val="20"/>
              </w:rPr>
              <w:t xml:space="preserve">Must</w:t>
            </w:r>
          </w:p>
        </w:tc>
      </w:tr>
      <w:tr>
        <w:tc>
          <w:tcPr>
            <w:tcW w:type="dxa" w:w="1200"/>
            <w:shd w:fill="F2F2F2" w:val="clear"/>
            <w:vAlign w:val="center"/>
          </w:tcPr>
          <w:p>
            <w:r>
              <w:rPr>
                <w:b w:val="false"/>
                <w:bCs w:val="false"/>
                <w:sz w:val="20"/>
                <w:szCs w:val="20"/>
              </w:rPr>
              <w:t xml:space="preserve">BR-031</w:t>
            </w:r>
          </w:p>
        </w:tc>
        <w:tc>
          <w:tcPr>
            <w:tcW w:type="dxa" w:w="6800"/>
            <w:shd w:fill="F2F2F2" w:val="clear"/>
            <w:vAlign w:val="center"/>
          </w:tcPr>
          <w:p>
            <w:r>
              <w:rPr>
                <w:b w:val="false"/>
                <w:bCs w:val="false"/>
                <w:sz w:val="20"/>
                <w:szCs w:val="20"/>
              </w:rPr>
              <w:t xml:space="preserve">The system shall support behavior-based segmentation for targeted notifications (e.g., cart abandonment, wishlist activity).</w:t>
            </w:r>
          </w:p>
        </w:tc>
        <w:tc>
          <w:tcPr>
            <w:tcW w:type="dxa" w:w="2000"/>
            <w:shd w:fill="F2F2F2" w:val="clear"/>
            <w:vAlign w:val="center"/>
          </w:tcPr>
          <w:p>
            <w:r>
              <w:rPr>
                <w:b w:val="false"/>
                <w:bCs w:val="false"/>
                <w:sz w:val="20"/>
                <w:szCs w:val="20"/>
              </w:rPr>
              <w:t xml:space="preserve">Should — Phase 2</w:t>
            </w:r>
          </w:p>
        </w:tc>
      </w:tr>
      <w:tr>
        <w:tc>
          <w:tcPr>
            <w:tcW w:type="dxa" w:w="1200"/>
            <w:vAlign w:val="center"/>
          </w:tcPr>
          <w:p>
            <w:r>
              <w:rPr>
                <w:b w:val="false"/>
                <w:bCs w:val="false"/>
                <w:sz w:val="20"/>
                <w:szCs w:val="20"/>
              </w:rPr>
              <w:t xml:space="preserve">BR-032</w:t>
            </w:r>
          </w:p>
        </w:tc>
        <w:tc>
          <w:tcPr>
            <w:tcW w:type="dxa" w:w="6800"/>
            <w:vAlign w:val="center"/>
          </w:tcPr>
          <w:p>
            <w:r>
              <w:rPr>
                <w:b w:val="false"/>
                <w:bCs w:val="false"/>
                <w:sz w:val="20"/>
                <w:szCs w:val="20"/>
              </w:rPr>
              <w:t xml:space="preserve">The system shall report open rate and resulting conversions per notification sent.</w:t>
            </w:r>
          </w:p>
        </w:tc>
        <w:tc>
          <w:tcPr>
            <w:tcW w:type="dxa" w:w="2000"/>
            <w:vAlign w:val="center"/>
          </w:tcPr>
          <w:p>
            <w:r>
              <w:rPr>
                <w:b w:val="false"/>
                <w:bCs w:val="false"/>
                <w:sz w:val="20"/>
                <w:szCs w:val="20"/>
              </w:rPr>
              <w:t xml:space="preserve">Should</w:t>
            </w:r>
          </w:p>
        </w:tc>
      </w:tr>
    </w:tbl>
    <w:p>
      <w:pPr>
        <w:pStyle w:val="Heading2"/>
        <w:spacing w:after="150" w:before="300"/>
      </w:pPr>
      <w:r>
        <w:t xml:space="preserve">7.5 Analytics &amp; Attribution — MVP (Simplified) / Phase 2 (Full)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2000"/>
      </w:tblGrid>
      <w:tr>
        <w:trPr>
          <w:tblHeader/>
        </w:trPr>
        <w:tc>
          <w:tcPr>
            <w:tcW w:type="dxa" w:w="1200"/>
            <w:shd w:fill="1F3864" w:val="clear"/>
            <w:vAlign w:val="center"/>
          </w:tcPr>
          <w:p>
            <w:r>
              <w:rPr>
                <w:b/>
                <w:bCs/>
                <w:color w:val="FFFFFF"/>
                <w:sz w:val="20"/>
                <w:szCs w:val="20"/>
              </w:rPr>
              <w:t xml:space="preserve">ID</w:t>
            </w:r>
          </w:p>
        </w:tc>
        <w:tc>
          <w:tcPr>
            <w:tcW w:type="dxa" w:w="6800"/>
            <w:shd w:fill="1F3864" w:val="clear"/>
            <w:vAlign w:val="center"/>
          </w:tcPr>
          <w:p>
            <w:r>
              <w:rPr>
                <w:b/>
                <w:bCs/>
                <w:color w:val="FFFFFF"/>
                <w:sz w:val="20"/>
                <w:szCs w:val="20"/>
              </w:rPr>
              <w:t xml:space="preserve">Requirement</w:t>
            </w:r>
          </w:p>
        </w:tc>
        <w:tc>
          <w:tcPr>
            <w:tcW w:type="dxa" w:w="2000"/>
            <w:shd w:fill="1F3864" w:val="clear"/>
            <w:vAlign w:val="center"/>
          </w:tcPr>
          <w:p>
            <w:r>
              <w:rPr>
                <w:b/>
                <w:bCs/>
                <w:color w:val="FFFFFF"/>
                <w:sz w:val="20"/>
                <w:szCs w:val="20"/>
              </w:rPr>
              <w:t xml:space="preserve">Priority</w:t>
            </w:r>
          </w:p>
        </w:tc>
      </w:tr>
      <w:tr>
        <w:tc>
          <w:tcPr>
            <w:tcW w:type="dxa" w:w="1200"/>
            <w:vAlign w:val="center"/>
          </w:tcPr>
          <w:p>
            <w:r>
              <w:rPr>
                <w:b w:val="false"/>
                <w:bCs w:val="false"/>
                <w:sz w:val="20"/>
                <w:szCs w:val="20"/>
              </w:rPr>
              <w:t xml:space="preserve">BR-040</w:t>
            </w:r>
          </w:p>
        </w:tc>
        <w:tc>
          <w:tcPr>
            <w:tcW w:type="dxa" w:w="6800"/>
            <w:vAlign w:val="center"/>
          </w:tcPr>
          <w:p>
            <w:r>
              <w:rPr>
                <w:b w:val="false"/>
                <w:bCs w:val="false"/>
                <w:sz w:val="20"/>
                <w:szCs w:val="20"/>
              </w:rPr>
              <w:t xml:space="preserve">The system shall tag orders originating from an app session and report the resulting percentage of store revenue as an MVP-level attribution metric, clearly labeled to merchants as a simplified, order-tagging methodology.</w:t>
            </w:r>
          </w:p>
        </w:tc>
        <w:tc>
          <w:tcPr>
            <w:tcW w:type="dxa" w:w="2000"/>
            <w:vAlign w:val="center"/>
          </w:tcPr>
          <w:p>
            <w:r>
              <w:rPr>
                <w:b w:val="false"/>
                <w:bCs w:val="false"/>
                <w:sz w:val="20"/>
                <w:szCs w:val="20"/>
              </w:rPr>
              <w:t xml:space="preserve">Must — MVP</w:t>
            </w:r>
          </w:p>
        </w:tc>
      </w:tr>
      <w:tr>
        <w:tc>
          <w:tcPr>
            <w:tcW w:type="dxa" w:w="1200"/>
            <w:shd w:fill="F2F2F2" w:val="clear"/>
            <w:vAlign w:val="center"/>
          </w:tcPr>
          <w:p>
            <w:r>
              <w:rPr>
                <w:b w:val="false"/>
                <w:bCs w:val="false"/>
                <w:sz w:val="20"/>
                <w:szCs w:val="20"/>
              </w:rPr>
              <w:t xml:space="preserve">BR-041</w:t>
            </w:r>
          </w:p>
        </w:tc>
        <w:tc>
          <w:tcPr>
            <w:tcW w:type="dxa" w:w="6800"/>
            <w:shd w:fill="F2F2F2" w:val="clear"/>
            <w:vAlign w:val="center"/>
          </w:tcPr>
          <w:p>
            <w:r>
              <w:rPr>
                <w:b w:val="false"/>
                <w:bCs w:val="false"/>
                <w:sz w:val="20"/>
                <w:szCs w:val="20"/>
              </w:rPr>
              <w:t xml:space="preserve">The system shall track the full in-app funnel (session start, product view, cart add, checkout start, purchase) as a Phase 2 enhancement layered on top of the MVP attribution.</w:t>
            </w:r>
          </w:p>
        </w:tc>
        <w:tc>
          <w:tcPr>
            <w:tcW w:type="dxa" w:w="2000"/>
            <w:shd w:fill="F2F2F2" w:val="clear"/>
            <w:vAlign w:val="center"/>
          </w:tcPr>
          <w:p>
            <w:r>
              <w:rPr>
                <w:b w:val="false"/>
                <w:bCs w:val="false"/>
                <w:sz w:val="20"/>
                <w:szCs w:val="20"/>
              </w:rPr>
              <w:t xml:space="preserve">Should — Phase 2</w:t>
            </w:r>
          </w:p>
        </w:tc>
      </w:tr>
      <w:tr>
        <w:tc>
          <w:tcPr>
            <w:tcW w:type="dxa" w:w="1200"/>
            <w:vAlign w:val="center"/>
          </w:tcPr>
          <w:p>
            <w:r>
              <w:rPr>
                <w:b w:val="false"/>
                <w:bCs w:val="false"/>
                <w:sz w:val="20"/>
                <w:szCs w:val="20"/>
              </w:rPr>
              <w:t xml:space="preserve">BR-042</w:t>
            </w:r>
          </w:p>
        </w:tc>
        <w:tc>
          <w:tcPr>
            <w:tcW w:type="dxa" w:w="6800"/>
            <w:vAlign w:val="center"/>
          </w:tcPr>
          <w:p>
            <w:r>
              <w:rPr>
                <w:b w:val="false"/>
                <w:bCs w:val="false"/>
                <w:sz w:val="20"/>
                <w:szCs w:val="20"/>
              </w:rPr>
              <w:t xml:space="preserve">The system shall generate an automated monthly performance summary for each merchant.</w:t>
            </w:r>
          </w:p>
        </w:tc>
        <w:tc>
          <w:tcPr>
            <w:tcW w:type="dxa" w:w="2000"/>
            <w:vAlign w:val="center"/>
          </w:tcPr>
          <w:p>
            <w:r>
              <w:rPr>
                <w:b w:val="false"/>
                <w:bCs w:val="false"/>
                <w:sz w:val="20"/>
                <w:szCs w:val="20"/>
              </w:rPr>
              <w:t xml:space="preserve">Could</w:t>
            </w:r>
          </w:p>
        </w:tc>
      </w:tr>
    </w:tbl>
    <w:p>
      <w:pPr>
        <w:shd w:fill="FFF2CC" w:val="clear"/>
        <w:spacing w:after="200" w:before="100"/>
      </w:pPr>
      <w:r>
        <w:rPr>
          <w:b/>
          <w:bCs/>
          <w:sz w:val="20"/>
          <w:szCs w:val="20"/>
        </w:rPr>
        <w:t xml:space="preserve">REVISION NOTE (v1.1): </w:t>
      </w:r>
      <w:r>
        <w:rPr>
          <w:i/>
          <w:iCs/>
          <w:sz w:val="20"/>
          <w:szCs w:val="20"/>
        </w:rPr>
        <w:t xml:space="preserve">BR-040 (order-level revenue attribution) is upgraded here from “Should/Phase 2” to “Must/MVP.” This is the single most important change in this revision: attribution is the evidence a merchant needs to justify paying for Appliify over a cheaper flat-fee competitor, so it cannot ship after the sales conversation has already happened.</w:t>
      </w:r>
    </w:p>
    <w:p>
      <w:pPr>
        <w:pStyle w:val="Heading2"/>
        <w:spacing w:after="150" w:before="300"/>
      </w:pPr>
      <w:r>
        <w:t xml:space="preserve">7.6 Future Feature Marketplace (Phase 3 — Directional Requirement Only)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2000"/>
      </w:tblGrid>
      <w:tr>
        <w:trPr>
          <w:tblHeader/>
        </w:trPr>
        <w:tc>
          <w:tcPr>
            <w:tcW w:type="dxa" w:w="1200"/>
            <w:shd w:fill="1F3864" w:val="clear"/>
            <w:vAlign w:val="center"/>
          </w:tcPr>
          <w:p>
            <w:r>
              <w:rPr>
                <w:b/>
                <w:bCs/>
                <w:color w:val="FFFFFF"/>
                <w:sz w:val="20"/>
                <w:szCs w:val="20"/>
              </w:rPr>
              <w:t xml:space="preserve">ID</w:t>
            </w:r>
          </w:p>
        </w:tc>
        <w:tc>
          <w:tcPr>
            <w:tcW w:type="dxa" w:w="6800"/>
            <w:shd w:fill="1F3864" w:val="clear"/>
            <w:vAlign w:val="center"/>
          </w:tcPr>
          <w:p>
            <w:r>
              <w:rPr>
                <w:b/>
                <w:bCs/>
                <w:color w:val="FFFFFF"/>
                <w:sz w:val="20"/>
                <w:szCs w:val="20"/>
              </w:rPr>
              <w:t xml:space="preserve">Requirement</w:t>
            </w:r>
          </w:p>
        </w:tc>
        <w:tc>
          <w:tcPr>
            <w:tcW w:type="dxa" w:w="2000"/>
            <w:shd w:fill="1F3864" w:val="clear"/>
            <w:vAlign w:val="center"/>
          </w:tcPr>
          <w:p>
            <w:r>
              <w:rPr>
                <w:b/>
                <w:bCs/>
                <w:color w:val="FFFFFF"/>
                <w:sz w:val="20"/>
                <w:szCs w:val="20"/>
              </w:rPr>
              <w:t xml:space="preserve">Priority</w:t>
            </w:r>
          </w:p>
        </w:tc>
      </w:tr>
      <w:tr>
        <w:tc>
          <w:tcPr>
            <w:tcW w:type="dxa" w:w="1200"/>
            <w:vAlign w:val="center"/>
          </w:tcPr>
          <w:p>
            <w:r>
              <w:rPr>
                <w:b w:val="false"/>
                <w:bCs w:val="false"/>
                <w:sz w:val="20"/>
                <w:szCs w:val="20"/>
              </w:rPr>
              <w:t xml:space="preserve">BR-050</w:t>
            </w:r>
          </w:p>
        </w:tc>
        <w:tc>
          <w:tcPr>
            <w:tcW w:type="dxa" w:w="6800"/>
            <w:vAlign w:val="center"/>
          </w:tcPr>
          <w:p>
            <w:r>
              <w:rPr>
                <w:b w:val="false"/>
                <w:bCs w:val="false"/>
                <w:sz w:val="20"/>
                <w:szCs w:val="20"/>
              </w:rPr>
              <w:t xml:space="preserve">The system shall, in a future phase, allow merchants to browse and activate optional add-on features individually rather than as a fixed bundle.</w:t>
            </w:r>
          </w:p>
        </w:tc>
        <w:tc>
          <w:tcPr>
            <w:tcW w:type="dxa" w:w="2000"/>
            <w:vAlign w:val="center"/>
          </w:tcPr>
          <w:p>
            <w:r>
              <w:rPr>
                <w:b w:val="false"/>
                <w:bCs w:val="false"/>
                <w:sz w:val="20"/>
                <w:szCs w:val="20"/>
              </w:rPr>
              <w:t xml:space="preserve">Could (Future Phase)</w:t>
            </w:r>
          </w:p>
        </w:tc>
      </w:tr>
    </w:tbl>
    <w:p>
      <w:pPr>
        <w:pStyle w:val="Heading1"/>
        <w:spacing w:after="200" w:before="400"/>
      </w:pPr>
      <w:r>
        <w:t xml:space="preserve">8. Assumptions</w:t>
      </w:r>
    </w:p>
    <w:p>
      <w:pPr>
        <w:pStyle w:val="ListParagraph"/>
        <w:numPr>
          <w:ilvl w:val="0"/>
          <w:numId w:val="1"/>
        </w:numPr>
        <w:spacing w:after="100"/>
        <w:rPr>
          <w:sz w:val="22"/>
          <w:szCs w:val="22"/>
        </w:rPr>
      </w:pPr>
      <w:r>
        <w:t xml:space="preserve">Salla, Zid, and WooCommerce are the three initial target platforms, selected for comparable API maturity and combined regional plus global reach; Shopify follows as a fast-follow once the connector architecture is validated.</w:t>
      </w:r>
    </w:p>
    <w:p>
      <w:pPr>
        <w:pStyle w:val="ListParagraph"/>
        <w:numPr>
          <w:ilvl w:val="0"/>
          <w:numId w:val="1"/>
        </w:numPr>
        <w:spacing w:after="100"/>
        <w:rPr>
          <w:sz w:val="22"/>
          <w:szCs w:val="22"/>
        </w:rPr>
      </w:pPr>
      <w:r>
        <w:t xml:space="preserve">The initial architecture is WebView-based for the storefront shell, consistent with the fastest viable path to market at this price point, layered with native CRO and push components (per Constraints below) so the product does not read as a plain wrapped browser tab.</w:t>
      </w:r>
    </w:p>
    <w:p>
      <w:pPr>
        <w:pStyle w:val="ListParagraph"/>
        <w:numPr>
          <w:ilvl w:val="0"/>
          <w:numId w:val="1"/>
        </w:numPr>
        <w:spacing w:after="100"/>
        <w:rPr>
          <w:sz w:val="22"/>
          <w:szCs w:val="22"/>
        </w:rPr>
      </w:pPr>
      <w:r>
        <w:t xml:space="preserve">Merchants targeted in Phase 0 already understand the value of CRO tooling, typically through prior use of web-based tools such as Tooliify.</w:t>
      </w:r>
    </w:p>
    <w:p>
      <w:pPr>
        <w:pStyle w:val="ListParagraph"/>
        <w:numPr>
          <w:ilvl w:val="0"/>
          <w:numId w:val="1"/>
        </w:numPr>
        <w:spacing w:after="100"/>
        <w:rPr>
          <w:sz w:val="22"/>
          <w:szCs w:val="22"/>
        </w:rPr>
      </w:pPr>
      <w:r>
        <w:t xml:space="preserve">A pilot merchant on at least two different platforms (e.g., one Salla-based and one WooCommerce-based) will be secured before or during Phase 0 to validate both cross-platform feasibility and real-world usage.</w:t>
      </w:r>
    </w:p>
    <w:p>
      <w:pPr>
        <w:pStyle w:val="ListParagraph"/>
        <w:numPr>
          <w:ilvl w:val="0"/>
          <w:numId w:val="1"/>
        </w:numPr>
        <w:spacing w:after="100"/>
        <w:rPr>
          <w:sz w:val="22"/>
          <w:szCs w:val="22"/>
        </w:rPr>
      </w:pPr>
      <w:r>
        <w:t xml:space="preserve">A flat-subscription pricing model will be used at MVP launch to keep the initial sales motion simple; a performance-based or hybrid pricing model remains a future option to be evaluated once attribution data from real merchants is available.</w:t>
      </w:r>
    </w:p>
    <w:p>
      <w:pPr>
        <w:pStyle w:val="Heading1"/>
        <w:spacing w:after="200" w:before="400"/>
      </w:pPr>
      <w:r>
        <w:t xml:space="preserve">9. Constraints</w:t>
      </w:r>
    </w:p>
    <w:p>
      <w:pPr>
        <w:pStyle w:val="ListParagraph"/>
        <w:numPr>
          <w:ilvl w:val="0"/>
          <w:numId w:val="1"/>
        </w:numPr>
        <w:spacing w:after="100"/>
        <w:rPr>
          <w:sz w:val="22"/>
          <w:szCs w:val="22"/>
        </w:rPr>
      </w:pPr>
      <w:r>
        <w:t xml:space="preserve">Apple App Store and Google Play policies governing WebView-based applications — and specifically policies restricting near-identical, templated apps under one developer account — must be met to avoid rejection or removal; the shared-app-shell architecture question (see PRD, Open Questions) must be resolved with this constraint explicitly in view.</w:t>
      </w:r>
    </w:p>
    <w:p>
      <w:pPr>
        <w:pStyle w:val="ListParagraph"/>
        <w:numPr>
          <w:ilvl w:val="0"/>
          <w:numId w:val="1"/>
        </w:numPr>
        <w:spacing w:after="100"/>
        <w:rPr>
          <w:sz w:val="22"/>
          <w:szCs w:val="22"/>
        </w:rPr>
      </w:pPr>
      <w:r>
        <w:t xml:space="preserve">Feature parity across Salla, Zid, and WooCommerce is bounded by the most restrictive API among the three; any platform-specific limitation shall be documented per platform in the SRS, and may result in a phased rather than simultaneous feature rollout across platforms.</w:t>
      </w:r>
    </w:p>
    <w:p>
      <w:pPr>
        <w:pStyle w:val="ListParagraph"/>
        <w:numPr>
          <w:ilvl w:val="0"/>
          <w:numId w:val="1"/>
        </w:numPr>
        <w:spacing w:after="100"/>
        <w:rPr>
          <w:sz w:val="22"/>
          <w:szCs w:val="22"/>
        </w:rPr>
      </w:pPr>
      <w:r>
        <w:t xml:space="preserve">Integration is limited to what each platform's API exposes; features dependent on unavailable data points cannot be delivered in Phase 0 for that platform.</w:t>
      </w:r>
    </w:p>
    <w:p>
      <w:pPr>
        <w:pStyle w:val="ListParagraph"/>
        <w:numPr>
          <w:ilvl w:val="0"/>
          <w:numId w:val="1"/>
        </w:numPr>
        <w:spacing w:after="100"/>
        <w:rPr>
          <w:sz w:val="22"/>
          <w:szCs w:val="22"/>
        </w:rPr>
      </w:pPr>
      <w:r>
        <w:t xml:space="preserve">Timeline and resourcing are dependent on the Phase 0 build decision (in-house build vs. external development partner), which remains an open decision at the time of this document.</w:t>
      </w:r>
    </w:p>
    <w:p>
      <w:pPr>
        <w:pStyle w:val="Heading1"/>
        <w:spacing w:after="200" w:before="400"/>
      </w:pPr>
      <w:r>
        <w:t xml:space="preserve">10. Risks &amp; Mitigation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5300"/>
      </w:tblGrid>
      <w:tr>
        <w:trPr>
          <w:tblHeader/>
        </w:trPr>
        <w:tc>
          <w:tcPr>
            <w:tcW w:type="dxa" w:w="3200"/>
            <w:shd w:fill="1F3864" w:val="clear"/>
            <w:vAlign w:val="center"/>
          </w:tcPr>
          <w:p>
            <w:r>
              <w:rPr>
                <w:b/>
                <w:bCs/>
                <w:color w:val="FFFFFF"/>
                <w:sz w:val="20"/>
                <w:szCs w:val="20"/>
              </w:rPr>
              <w:t xml:space="preserve">Risk</w:t>
            </w:r>
          </w:p>
        </w:tc>
        <w:tc>
          <w:tcPr>
            <w:tcW w:type="dxa" w:w="1300"/>
            <w:shd w:fill="1F3864" w:val="clear"/>
            <w:vAlign w:val="center"/>
          </w:tcPr>
          <w:p>
            <w:r>
              <w:rPr>
                <w:b/>
                <w:bCs/>
                <w:color w:val="FFFFFF"/>
                <w:sz w:val="20"/>
                <w:szCs w:val="20"/>
              </w:rPr>
              <w:t xml:space="preserve">Impact</w:t>
            </w:r>
          </w:p>
        </w:tc>
        <w:tc>
          <w:tcPr>
            <w:tcW w:type="dxa" w:w="5300"/>
            <w:shd w:fill="1F3864" w:val="clear"/>
            <w:vAlign w:val="center"/>
          </w:tcPr>
          <w:p>
            <w:r>
              <w:rPr>
                <w:b/>
                <w:bCs/>
                <w:color w:val="FFFFFF"/>
                <w:sz w:val="20"/>
                <w:szCs w:val="20"/>
              </w:rPr>
              <w:t xml:space="preserve">Mitigation</w:t>
            </w:r>
          </w:p>
        </w:tc>
      </w:tr>
      <w:tr>
        <w:tc>
          <w:tcPr>
            <w:tcW w:type="dxa" w:w="3200"/>
            <w:vAlign w:val="center"/>
          </w:tcPr>
          <w:p>
            <w:r>
              <w:rPr>
                <w:b w:val="false"/>
                <w:bCs w:val="false"/>
                <w:sz w:val="20"/>
                <w:szCs w:val="20"/>
              </w:rPr>
              <w:t xml:space="preserve">Merchants on Salla already have access to a native, deeply integrated app feature (App Maker), reducing perceived need for a third-party alternative.</w:t>
            </w:r>
          </w:p>
        </w:tc>
        <w:tc>
          <w:tcPr>
            <w:tcW w:type="dxa" w:w="1300"/>
            <w:vAlign w:val="center"/>
          </w:tcPr>
          <w:p>
            <w:r>
              <w:rPr>
                <w:b w:val="false"/>
                <w:bCs w:val="false"/>
                <w:sz w:val="20"/>
                <w:szCs w:val="20"/>
              </w:rPr>
              <w:t xml:space="preserve">High</w:t>
            </w:r>
          </w:p>
        </w:tc>
        <w:tc>
          <w:tcPr>
            <w:tcW w:type="dxa" w:w="5300"/>
            <w:vAlign w:val="center"/>
          </w:tcPr>
          <w:p>
            <w:r>
              <w:rPr>
                <w:b w:val="false"/>
                <w:bCs w:val="false"/>
                <w:sz w:val="20"/>
                <w:szCs w:val="20"/>
              </w:rPr>
              <w:t xml:space="preserve">Differentiate explicitly on cross-platform reach and real revenue attribution — both structurally unavailable to a single-platform native app builder — rather than competing on the existence of an app alone.</w:t>
            </w:r>
          </w:p>
        </w:tc>
      </w:tr>
      <w:tr>
        <w:tc>
          <w:tcPr>
            <w:tcW w:type="dxa" w:w="3200"/>
            <w:shd w:fill="F2F2F2" w:val="clear"/>
            <w:vAlign w:val="center"/>
          </w:tcPr>
          <w:p>
            <w:r>
              <w:rPr>
                <w:b w:val="false"/>
                <w:bCs w:val="false"/>
                <w:sz w:val="20"/>
                <w:szCs w:val="20"/>
              </w:rPr>
              <w:t xml:space="preserve">WebView-based apps may face App Store review scrutiny if perceived as low native value.</w:t>
            </w:r>
          </w:p>
        </w:tc>
        <w:tc>
          <w:tcPr>
            <w:tcW w:type="dxa" w:w="1300"/>
            <w:shd w:fill="F2F2F2" w:val="clear"/>
            <w:vAlign w:val="center"/>
          </w:tcPr>
          <w:p>
            <w:r>
              <w:rPr>
                <w:b w:val="false"/>
                <w:bCs w:val="false"/>
                <w:sz w:val="20"/>
                <w:szCs w:val="20"/>
              </w:rPr>
              <w:t xml:space="preserve">Medium</w:t>
            </w:r>
          </w:p>
        </w:tc>
        <w:tc>
          <w:tcPr>
            <w:tcW w:type="dxa" w:w="5300"/>
            <w:shd w:fill="F2F2F2" w:val="clear"/>
            <w:vAlign w:val="center"/>
          </w:tcPr>
          <w:p>
            <w:r>
              <w:rPr>
                <w:b w:val="false"/>
                <w:bCs w:val="false"/>
                <w:sz w:val="20"/>
                <w:szCs w:val="20"/>
              </w:rPr>
              <w:t xml:space="preserve">Ensure sufficient native-feature depth (push, offline caching, native UI elements) to satisfy platform review guidelines.</w:t>
            </w:r>
          </w:p>
        </w:tc>
      </w:tr>
      <w:tr>
        <w:tc>
          <w:tcPr>
            <w:tcW w:type="dxa" w:w="3200"/>
            <w:vAlign w:val="center"/>
          </w:tcPr>
          <w:p>
            <w:r>
              <w:rPr>
                <w:b w:val="false"/>
                <w:bCs w:val="false"/>
                <w:sz w:val="20"/>
                <w:szCs w:val="20"/>
              </w:rPr>
              <w:t xml:space="preserve">Multi-platform scope (Salla, Zid, WooCommerce) at MVP increases integration complexity and timeline risk compared to a single-platform launch.</w:t>
            </w:r>
          </w:p>
        </w:tc>
        <w:tc>
          <w:tcPr>
            <w:tcW w:type="dxa" w:w="1300"/>
            <w:vAlign w:val="center"/>
          </w:tcPr>
          <w:p>
            <w:r>
              <w:rPr>
                <w:b w:val="false"/>
                <w:bCs w:val="false"/>
                <w:sz w:val="20"/>
                <w:szCs w:val="20"/>
              </w:rPr>
              <w:t xml:space="preserve">Medium-High</w:t>
            </w:r>
          </w:p>
        </w:tc>
        <w:tc>
          <w:tcPr>
            <w:tcW w:type="dxa" w:w="5300"/>
            <w:vAlign w:val="center"/>
          </w:tcPr>
          <w:p>
            <w:r>
              <w:rPr>
                <w:b w:val="false"/>
                <w:bCs w:val="false"/>
                <w:sz w:val="20"/>
                <w:szCs w:val="20"/>
              </w:rPr>
              <w:t xml:space="preserve">Build a platform-agnostic connector architecture up front. If one platform's integration lags, launch the MVP with the two most-ready platforms and fast-follow the third rather than delaying the entire release.</w:t>
            </w:r>
          </w:p>
        </w:tc>
      </w:tr>
      <w:tr>
        <w:tc>
          <w:tcPr>
            <w:tcW w:type="dxa" w:w="3200"/>
            <w:shd w:fill="F2F2F2" w:val="clear"/>
            <w:vAlign w:val="center"/>
          </w:tcPr>
          <w:p>
            <w:r>
              <w:rPr>
                <w:b w:val="false"/>
                <w:bCs w:val="false"/>
                <w:sz w:val="20"/>
                <w:szCs w:val="20"/>
              </w:rPr>
              <w:t xml:space="preserve">Simplified, order-tagging revenue attribution at MVP may be challenged on accuracy by technically sophisticated merchants before full funnel-level attribution ships in Phase 2.</w:t>
            </w:r>
          </w:p>
        </w:tc>
        <w:tc>
          <w:tcPr>
            <w:tcW w:type="dxa" w:w="1300"/>
            <w:shd w:fill="F2F2F2" w:val="clear"/>
            <w:vAlign w:val="center"/>
          </w:tcPr>
          <w:p>
            <w:r>
              <w:rPr>
                <w:b w:val="false"/>
                <w:bCs w:val="false"/>
                <w:sz w:val="20"/>
                <w:szCs w:val="20"/>
              </w:rPr>
              <w:t xml:space="preserve">Medium</w:t>
            </w:r>
          </w:p>
        </w:tc>
        <w:tc>
          <w:tcPr>
            <w:tcW w:type="dxa" w:w="5300"/>
            <w:shd w:fill="F2F2F2" w:val="clear"/>
            <w:vAlign w:val="center"/>
          </w:tcPr>
          <w:p>
            <w:r>
              <w:rPr>
                <w:b w:val="false"/>
                <w:bCs w:val="false"/>
                <w:sz w:val="20"/>
                <w:szCs w:val="20"/>
              </w:rPr>
              <w:t xml:space="preserve">Clearly label the MVP attribution methodology to merchants as an early, simplified measure, and present the upgrade path to full funnel attribution in Phase 2 as part of the sales narrative.</w:t>
            </w:r>
          </w:p>
        </w:tc>
      </w:tr>
      <w:tr>
        <w:tc>
          <w:tcPr>
            <w:tcW w:type="dxa" w:w="3200"/>
            <w:vAlign w:val="center"/>
          </w:tcPr>
          <w:p>
            <w:r>
              <w:rPr>
                <w:b w:val="false"/>
                <w:bCs w:val="false"/>
                <w:sz w:val="20"/>
                <w:szCs w:val="20"/>
              </w:rPr>
              <w:t xml:space="preserve">Premature investment in the Phase 3 marketplace before product-market fit is confirmed.</w:t>
            </w:r>
          </w:p>
        </w:tc>
        <w:tc>
          <w:tcPr>
            <w:tcW w:type="dxa" w:w="1300"/>
            <w:vAlign w:val="center"/>
          </w:tcPr>
          <w:p>
            <w:r>
              <w:rPr>
                <w:b w:val="false"/>
                <w:bCs w:val="false"/>
                <w:sz w:val="20"/>
                <w:szCs w:val="20"/>
              </w:rPr>
              <w:t xml:space="preserve">Medium</w:t>
            </w:r>
          </w:p>
        </w:tc>
        <w:tc>
          <w:tcPr>
            <w:tcW w:type="dxa" w:w="5300"/>
            <w:vAlign w:val="center"/>
          </w:tcPr>
          <w:p>
            <w:r>
              <w:rPr>
                <w:b w:val="false"/>
                <w:bCs w:val="false"/>
                <w:sz w:val="20"/>
                <w:szCs w:val="20"/>
              </w:rPr>
              <w:t xml:space="preserve">Enforce phase gating: Phase 3 does not begin until Phase 0–2 show validated paying usage.</w:t>
            </w:r>
          </w:p>
        </w:tc>
      </w:tr>
      <w:tr>
        <w:tc>
          <w:tcPr>
            <w:tcW w:type="dxa" w:w="3200"/>
            <w:shd w:fill="F2F2F2" w:val="clear"/>
            <w:vAlign w:val="center"/>
          </w:tcPr>
          <w:p>
            <w:r>
              <w:rPr>
                <w:b w:val="false"/>
                <w:bCs w:val="false"/>
                <w:sz w:val="20"/>
                <w:szCs w:val="20"/>
              </w:rPr>
              <w:t xml:space="preserve">Pricing pressure from low-cost regional competitors (e.g., long-term lock-in pricing from Trujena).</w:t>
            </w:r>
          </w:p>
        </w:tc>
        <w:tc>
          <w:tcPr>
            <w:tcW w:type="dxa" w:w="1300"/>
            <w:shd w:fill="F2F2F2" w:val="clear"/>
            <w:vAlign w:val="center"/>
          </w:tcPr>
          <w:p>
            <w:r>
              <w:rPr>
                <w:b w:val="false"/>
                <w:bCs w:val="false"/>
                <w:sz w:val="20"/>
                <w:szCs w:val="20"/>
              </w:rPr>
              <w:t xml:space="preserve">Medium</w:t>
            </w:r>
          </w:p>
        </w:tc>
        <w:tc>
          <w:tcPr>
            <w:tcW w:type="dxa" w:w="5300"/>
            <w:shd w:fill="F2F2F2" w:val="clear"/>
            <w:vAlign w:val="center"/>
          </w:tcPr>
          <w:p>
            <w:r>
              <w:rPr>
                <w:b w:val="false"/>
                <w:bCs w:val="false"/>
                <w:sz w:val="20"/>
                <w:szCs w:val="20"/>
              </w:rPr>
              <w:t xml:space="preserve">Position on measurable revenue attribution and multi-platform coverage rather than price or delivery speed alone, since Appliify is not undercutting Trujena/SplendApp on price.</w:t>
            </w:r>
          </w:p>
        </w:tc>
      </w:tr>
    </w:tbl>
    <w:p>
      <w:pPr>
        <w:pStyle w:val="Heading1"/>
        <w:spacing w:after="200" w:before="400"/>
      </w:pPr>
      <w:r>
        <w:t xml:space="preserve">11. Success Criteria / Key Performance Indicators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1F3864" w:val="clear"/>
            <w:vAlign w:val="center"/>
          </w:tcPr>
          <w:p>
            <w:r>
              <w:rPr>
                <w:b/>
                <w:bCs/>
                <w:color w:val="FFFFFF"/>
                <w:sz w:val="20"/>
                <w:szCs w:val="20"/>
              </w:rPr>
              <w:t xml:space="preserve">KPI</w:t>
            </w:r>
          </w:p>
        </w:tc>
        <w:tc>
          <w:tcPr>
            <w:tcW w:type="dxa" w:w="6800"/>
            <w:shd w:fill="1F3864" w:val="clear"/>
            <w:vAlign w:val="center"/>
          </w:tcPr>
          <w:p>
            <w:r>
              <w:rPr>
                <w:b/>
                <w:bCs/>
                <w:color w:val="FFFFFF"/>
                <w:sz w:val="20"/>
                <w:szCs w:val="20"/>
              </w:rPr>
              <w:t xml:space="preserve">Phase 0 (MVP) Target — Illustrative, to be confirmed with Product Owner</w:t>
            </w:r>
          </w:p>
        </w:tc>
      </w:tr>
      <w:tr>
        <w:tc>
          <w:tcPr>
            <w:tcW w:type="dxa" w:w="3000"/>
            <w:vAlign w:val="center"/>
          </w:tcPr>
          <w:p>
            <w:r>
              <w:rPr>
                <w:b w:val="false"/>
                <w:bCs w:val="false"/>
                <w:sz w:val="20"/>
                <w:szCs w:val="20"/>
              </w:rPr>
              <w:t xml:space="preserve">Pilot merchants onboarded</w:t>
            </w:r>
          </w:p>
        </w:tc>
        <w:tc>
          <w:tcPr>
            <w:tcW w:type="dxa" w:w="6800"/>
            <w:vAlign w:val="center"/>
          </w:tcPr>
          <w:p>
            <w:r>
              <w:rPr>
                <w:b w:val="false"/>
                <w:bCs w:val="false"/>
                <w:sz w:val="20"/>
                <w:szCs w:val="20"/>
              </w:rPr>
              <w:t xml:space="preserve">1–3 beta merchants live on Appliify, spanning at least two different underlying platforms (e.g., one Salla-based, one WooCommerce-based).</w:t>
            </w:r>
          </w:p>
        </w:tc>
      </w:tr>
      <w:tr>
        <w:tc>
          <w:tcPr>
            <w:tcW w:type="dxa" w:w="3000"/>
            <w:shd w:fill="F2F2F2" w:val="clear"/>
            <w:vAlign w:val="center"/>
          </w:tcPr>
          <w:p>
            <w:r>
              <w:rPr>
                <w:b w:val="false"/>
                <w:bCs w:val="false"/>
                <w:sz w:val="20"/>
                <w:szCs w:val="20"/>
              </w:rPr>
              <w:t xml:space="preserve">Platform breadth validated</w:t>
            </w:r>
          </w:p>
        </w:tc>
        <w:tc>
          <w:tcPr>
            <w:tcW w:type="dxa" w:w="6800"/>
            <w:shd w:fill="F2F2F2" w:val="clear"/>
            <w:vAlign w:val="center"/>
          </w:tcPr>
          <w:p>
            <w:r>
              <w:rPr>
                <w:b w:val="false"/>
                <w:bCs w:val="false"/>
                <w:sz w:val="20"/>
                <w:szCs w:val="20"/>
              </w:rPr>
              <w:t xml:space="preserve">At least 2 of the 3 initial platform connectors (Salla, Zid, WooCommerce) live and functioning at MVP launch.</w:t>
            </w:r>
          </w:p>
        </w:tc>
      </w:tr>
      <w:tr>
        <w:tc>
          <w:tcPr>
            <w:tcW w:type="dxa" w:w="3000"/>
            <w:vAlign w:val="center"/>
          </w:tcPr>
          <w:p>
            <w:r>
              <w:rPr>
                <w:b w:val="false"/>
                <w:bCs w:val="false"/>
                <w:sz w:val="20"/>
                <w:szCs w:val="20"/>
              </w:rPr>
              <w:t xml:space="preserve">App-attributed revenue share</w:t>
            </w:r>
          </w:p>
        </w:tc>
        <w:tc>
          <w:tcPr>
            <w:tcW w:type="dxa" w:w="6800"/>
            <w:vAlign w:val="center"/>
          </w:tcPr>
          <w:p>
            <w:r>
              <w:rPr>
                <w:b w:val="false"/>
                <w:bCs w:val="false"/>
                <w:sz w:val="20"/>
                <w:szCs w:val="20"/>
              </w:rPr>
              <w:t xml:space="preserve">Measurable and reported from MVP launch using the simplified order-tagging methodology; directional target 15–20% of merchant online revenue.</w:t>
            </w:r>
          </w:p>
        </w:tc>
      </w:tr>
      <w:tr>
        <w:tc>
          <w:tcPr>
            <w:tcW w:type="dxa" w:w="3000"/>
            <w:shd w:fill="F2F2F2" w:val="clear"/>
            <w:vAlign w:val="center"/>
          </w:tcPr>
          <w:p>
            <w:r>
              <w:rPr>
                <w:b w:val="false"/>
                <w:bCs w:val="false"/>
                <w:sz w:val="20"/>
                <w:szCs w:val="20"/>
              </w:rPr>
              <w:t xml:space="preserve">Push notification open rate</w:t>
            </w:r>
          </w:p>
        </w:tc>
        <w:tc>
          <w:tcPr>
            <w:tcW w:type="dxa" w:w="6800"/>
            <w:shd w:fill="F2F2F2" w:val="clear"/>
            <w:vAlign w:val="center"/>
          </w:tcPr>
          <w:p>
            <w:r>
              <w:rPr>
                <w:b w:val="false"/>
                <w:bCs w:val="false"/>
                <w:sz w:val="20"/>
                <w:szCs w:val="20"/>
              </w:rPr>
              <w:t xml:space="preserve">Establish baseline; industry reference range 20–40%.</w:t>
            </w:r>
          </w:p>
        </w:tc>
      </w:tr>
      <w:tr>
        <w:tc>
          <w:tcPr>
            <w:tcW w:type="dxa" w:w="3000"/>
            <w:vAlign w:val="center"/>
          </w:tcPr>
          <w:p>
            <w:r>
              <w:rPr>
                <w:b w:val="false"/>
                <w:bCs w:val="false"/>
                <w:sz w:val="20"/>
                <w:szCs w:val="20"/>
              </w:rPr>
              <w:t xml:space="preserve">Merchant self-service adoption</w:t>
            </w:r>
          </w:p>
        </w:tc>
        <w:tc>
          <w:tcPr>
            <w:tcW w:type="dxa" w:w="6800"/>
            <w:vAlign w:val="center"/>
          </w:tcPr>
          <w:p>
            <w:r>
              <w:rPr>
                <w:b w:val="false"/>
                <w:bCs w:val="false"/>
                <w:sz w:val="20"/>
                <w:szCs w:val="20"/>
              </w:rPr>
              <w:t xml:space="preserve">Majority of branding and push actions performed without support intervention.</w:t>
            </w:r>
          </w:p>
        </w:tc>
      </w:tr>
    </w:tbl>
    <w:p>
      <w:pPr>
        <w:pStyle w:val="Heading1"/>
        <w:spacing w:after="200" w:before="400"/>
      </w:pPr>
      <w:r>
        <w:t xml:space="preserve">12. High-Level Roadmap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600"/>
      </w:tblGrid>
      <w:tr>
        <w:trPr>
          <w:tblHeader/>
        </w:trPr>
        <w:tc>
          <w:tcPr>
            <w:tcW w:type="dxa" w:w="2200"/>
            <w:shd w:fill="1F3864" w:val="clear"/>
            <w:vAlign w:val="center"/>
          </w:tcPr>
          <w:p>
            <w:r>
              <w:rPr>
                <w:b/>
                <w:bCs/>
                <w:color w:val="FFFFFF"/>
                <w:sz w:val="20"/>
                <w:szCs w:val="20"/>
              </w:rPr>
              <w:t xml:space="preserve">Phase</w:t>
            </w:r>
          </w:p>
        </w:tc>
        <w:tc>
          <w:tcPr>
            <w:tcW w:type="dxa" w:w="2000"/>
            <w:shd w:fill="1F3864" w:val="clear"/>
            <w:vAlign w:val="center"/>
          </w:tcPr>
          <w:p>
            <w:r>
              <w:rPr>
                <w:b/>
                <w:bCs/>
                <w:color w:val="FFFFFF"/>
                <w:sz w:val="20"/>
                <w:szCs w:val="20"/>
              </w:rPr>
              <w:t xml:space="preserve">Indicative Duration</w:t>
            </w:r>
          </w:p>
        </w:tc>
        <w:tc>
          <w:tcPr>
            <w:tcW w:type="dxa" w:w="5600"/>
            <w:shd w:fill="1F3864" w:val="clear"/>
            <w:vAlign w:val="center"/>
          </w:tcPr>
          <w:p>
            <w:r>
              <w:rPr>
                <w:b/>
                <w:bCs/>
                <w:color w:val="FFFFFF"/>
                <w:sz w:val="20"/>
                <w:szCs w:val="20"/>
              </w:rPr>
              <w:t xml:space="preserve">Scope</w:t>
            </w:r>
          </w:p>
        </w:tc>
      </w:tr>
      <w:tr>
        <w:tc>
          <w:tcPr>
            <w:tcW w:type="dxa" w:w="2200"/>
            <w:vAlign w:val="center"/>
          </w:tcPr>
          <w:p>
            <w:r>
              <w:rPr>
                <w:b w:val="false"/>
                <w:bCs w:val="false"/>
                <w:sz w:val="20"/>
                <w:szCs w:val="20"/>
              </w:rPr>
              <w:t xml:space="preserve">Phase 0 — MVP</w:t>
            </w:r>
          </w:p>
        </w:tc>
        <w:tc>
          <w:tcPr>
            <w:tcW w:type="dxa" w:w="2000"/>
            <w:vAlign w:val="center"/>
          </w:tcPr>
          <w:p>
            <w:r>
              <w:rPr>
                <w:b w:val="false"/>
                <w:bCs w:val="false"/>
                <w:sz w:val="20"/>
                <w:szCs w:val="20"/>
              </w:rPr>
              <w:t xml:space="preserve">8–10 weeks</w:t>
            </w:r>
          </w:p>
        </w:tc>
        <w:tc>
          <w:tcPr>
            <w:tcW w:type="dxa" w:w="5600"/>
            <w:vAlign w:val="center"/>
          </w:tcPr>
          <w:p>
            <w:r>
              <w:rPr>
                <w:b w:val="false"/>
                <w:bCs w:val="false"/>
                <w:sz w:val="20"/>
                <w:szCs w:val="20"/>
              </w:rPr>
              <w:t xml:space="preserve">WebView shell with store connectors for Salla, Zid, and WooCommerce; native wrapper; basic dashboard; basic push; simplified (order-tagging) revenue attribution.</w:t>
            </w:r>
          </w:p>
        </w:tc>
      </w:tr>
      <w:tr>
        <w:tc>
          <w:tcPr>
            <w:tcW w:type="dxa" w:w="2200"/>
            <w:shd w:fill="F2F2F2" w:val="clear"/>
            <w:vAlign w:val="center"/>
          </w:tcPr>
          <w:p>
            <w:r>
              <w:rPr>
                <w:b w:val="false"/>
                <w:bCs w:val="false"/>
                <w:sz w:val="20"/>
                <w:szCs w:val="20"/>
              </w:rPr>
              <w:t xml:space="preserve">Phase 1 — CRO Core</w:t>
            </w:r>
          </w:p>
        </w:tc>
        <w:tc>
          <w:tcPr>
            <w:tcW w:type="dxa" w:w="2000"/>
            <w:shd w:fill="F2F2F2" w:val="clear"/>
            <w:vAlign w:val="center"/>
          </w:tcPr>
          <w:p>
            <w:r>
              <w:rPr>
                <w:b w:val="false"/>
                <w:bCs w:val="false"/>
                <w:sz w:val="20"/>
                <w:szCs w:val="20"/>
              </w:rPr>
              <w:t xml:space="preserve">+4–6 weeks</w:t>
            </w:r>
          </w:p>
        </w:tc>
        <w:tc>
          <w:tcPr>
            <w:tcW w:type="dxa" w:w="5600"/>
            <w:shd w:fill="F2F2F2" w:val="clear"/>
            <w:vAlign w:val="center"/>
          </w:tcPr>
          <w:p>
            <w:r>
              <w:rPr>
                <w:b w:val="false"/>
                <w:bCs w:val="false"/>
                <w:sz w:val="20"/>
                <w:szCs w:val="20"/>
              </w:rPr>
              <w:t xml:space="preserve">Priority CRO tools: countdown, stock counter, social proof, abandoned-cart push.</w:t>
            </w:r>
          </w:p>
        </w:tc>
      </w:tr>
      <w:tr>
        <w:tc>
          <w:tcPr>
            <w:tcW w:type="dxa" w:w="2200"/>
            <w:vAlign w:val="center"/>
          </w:tcPr>
          <w:p>
            <w:r>
              <w:rPr>
                <w:b w:val="false"/>
                <w:bCs w:val="false"/>
                <w:sz w:val="20"/>
                <w:szCs w:val="20"/>
              </w:rPr>
              <w:t xml:space="preserve">Phase 2 — Growth Engine</w:t>
            </w:r>
          </w:p>
        </w:tc>
        <w:tc>
          <w:tcPr>
            <w:tcW w:type="dxa" w:w="2000"/>
            <w:vAlign w:val="center"/>
          </w:tcPr>
          <w:p>
            <w:r>
              <w:rPr>
                <w:b w:val="false"/>
                <w:bCs w:val="false"/>
                <w:sz w:val="20"/>
                <w:szCs w:val="20"/>
              </w:rPr>
              <w:t xml:space="preserve">+6–8 weeks</w:t>
            </w:r>
          </w:p>
        </w:tc>
        <w:tc>
          <w:tcPr>
            <w:tcW w:type="dxa" w:w="5600"/>
            <w:vAlign w:val="center"/>
          </w:tcPr>
          <w:p>
            <w:r>
              <w:rPr>
                <w:b w:val="false"/>
                <w:bCs w:val="false"/>
                <w:sz w:val="20"/>
                <w:szCs w:val="20"/>
              </w:rPr>
              <w:t xml:space="preserve">Push segmentation; full funnel analytics &amp; revenue attribution; Shopify connector (fast-follow).</w:t>
            </w:r>
          </w:p>
        </w:tc>
      </w:tr>
      <w:tr>
        <w:tc>
          <w:tcPr>
            <w:tcW w:type="dxa" w:w="2200"/>
            <w:shd w:fill="F2F2F2" w:val="clear"/>
            <w:vAlign w:val="center"/>
          </w:tcPr>
          <w:p>
            <w:r>
              <w:rPr>
                <w:b w:val="false"/>
                <w:bCs w:val="false"/>
                <w:sz w:val="20"/>
                <w:szCs w:val="20"/>
              </w:rPr>
              <w:t xml:space="preserve">Phase 3 — Marketplace</w:t>
            </w:r>
          </w:p>
        </w:tc>
        <w:tc>
          <w:tcPr>
            <w:tcW w:type="dxa" w:w="2000"/>
            <w:shd w:fill="F2F2F2" w:val="clear"/>
            <w:vAlign w:val="center"/>
          </w:tcPr>
          <w:p>
            <w:r>
              <w:rPr>
                <w:b w:val="false"/>
                <w:bCs w:val="false"/>
                <w:sz w:val="20"/>
                <w:szCs w:val="20"/>
              </w:rPr>
              <w:t xml:space="preserve">Post product-market fit</w:t>
            </w:r>
          </w:p>
        </w:tc>
        <w:tc>
          <w:tcPr>
            <w:tcW w:type="dxa" w:w="5600"/>
            <w:shd w:fill="F2F2F2" w:val="clear"/>
            <w:vAlign w:val="center"/>
          </w:tcPr>
          <w:p>
            <w:r>
              <w:rPr>
                <w:b w:val="false"/>
                <w:bCs w:val="false"/>
                <w:sz w:val="20"/>
                <w:szCs w:val="20"/>
              </w:rPr>
              <w:t xml:space="preserve">Modular add-on feature marketplace.</w:t>
            </w:r>
          </w:p>
        </w:tc>
      </w:tr>
    </w:tbl>
    <w:p>
      <w:pPr>
        <w:shd w:fill="FFF2CC" w:val="clear"/>
        <w:spacing w:after="200" w:before="100"/>
      </w:pPr>
      <w:r>
        <w:rPr>
          <w:b/>
          <w:bCs/>
          <w:sz w:val="20"/>
          <w:szCs w:val="20"/>
        </w:rPr>
        <w:t xml:space="preserve">REVISION NOTE (v1.1): </w:t>
      </w:r>
      <w:r>
        <w:rPr>
          <w:i/>
          <w:iCs/>
          <w:sz w:val="20"/>
          <w:szCs w:val="20"/>
        </w:rPr>
        <w:t xml:space="preserve">Phase 0 duration is revised from 4–6 weeks (v1.0) to 8–10 weeks to honestly reflect the added scope of three simultaneous platform connectors plus a working attribution feature. This is a deliberate trade-off: a slightly slower MVP that already proves cross-platform reach and revenue impact is worth more to a first buyer than a faster MVP that looks identical to existing competitors.</w:t>
      </w:r>
    </w:p>
    <w:p>
      <w:pPr>
        <w:pStyle w:val="Heading1"/>
        <w:spacing w:after="200" w:before="400"/>
      </w:pPr>
      <w:r>
        <w:t xml:space="preserve">13. Approval</w:t>
      </w:r>
    </w:p>
    <w:p>
      <w:pPr>
        <w:spacing w:after="150"/>
      </w:pPr>
      <w:r>
        <w:rPr>
          <w:b w:val="false"/>
          <w:bCs w:val="false"/>
          <w:i w:val="false"/>
          <w:iCs w:val="false"/>
          <w:sz w:val="22"/>
          <w:szCs w:val="22"/>
        </w:rPr>
        <w:t xml:space="preserve">This Business Requirements Document is submitted for stakeholder review prior to translation into a detailed functional specification and technical architecture document.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2200"/>
        <w:gridCol w:w="1500"/>
      </w:tblGrid>
      <w:tr>
        <w:trPr>
          <w:tblHeader/>
        </w:trPr>
        <w:tc>
          <w:tcPr>
            <w:tcW w:type="dxa" w:w="2800"/>
            <w:shd w:fill="1F3864" w:val="clear"/>
            <w:vAlign w:val="center"/>
          </w:tcPr>
          <w:p>
            <w:r>
              <w:rPr>
                <w:b/>
                <w:bCs/>
                <w:color w:val="FFFFFF"/>
                <w:sz w:val="20"/>
                <w:szCs w:val="20"/>
              </w:rPr>
              <w:t xml:space="preserve">Role</w:t>
            </w:r>
          </w:p>
        </w:tc>
        <w:tc>
          <w:tcPr>
            <w:tcW w:type="dxa" w:w="2500"/>
            <w:shd w:fill="1F3864" w:val="clear"/>
            <w:vAlign w:val="center"/>
          </w:tcPr>
          <w:p>
            <w:r>
              <w:rPr>
                <w:b/>
                <w:bCs/>
                <w:color w:val="FFFFFF"/>
                <w:sz w:val="20"/>
                <w:szCs w:val="20"/>
              </w:rPr>
              <w:t xml:space="preserve">Name</w:t>
            </w:r>
          </w:p>
        </w:tc>
        <w:tc>
          <w:tcPr>
            <w:tcW w:type="dxa" w:w="2200"/>
            <w:shd w:fill="1F3864" w:val="clear"/>
            <w:vAlign w:val="center"/>
          </w:tcPr>
          <w:p>
            <w:r>
              <w:rPr>
                <w:b/>
                <w:bCs/>
                <w:color w:val="FFFFFF"/>
                <w:sz w:val="20"/>
                <w:szCs w:val="20"/>
              </w:rPr>
              <w:t xml:space="preserve">Signature</w:t>
            </w:r>
          </w:p>
        </w:tc>
        <w:tc>
          <w:tcPr>
            <w:tcW w:type="dxa" w:w="1500"/>
            <w:shd w:fill="1F3864" w:val="clear"/>
            <w:vAlign w:val="center"/>
          </w:tcPr>
          <w:p>
            <w:r>
              <w:rPr>
                <w:b/>
                <w:bCs/>
                <w:color w:val="FFFFFF"/>
                <w:sz w:val="20"/>
                <w:szCs w:val="20"/>
              </w:rPr>
              <w:t xml:space="preserve">Date</w:t>
            </w:r>
          </w:p>
        </w:tc>
      </w:tr>
      <w:tr>
        <w:tc>
          <w:tcPr>
            <w:tcW w:type="dxa" w:w="2800"/>
            <w:vAlign w:val="center"/>
          </w:tcPr>
          <w:p>
            <w:r>
              <w:rPr>
                <w:b w:val="false"/>
                <w:bCs w:val="false"/>
                <w:sz w:val="20"/>
                <w:szCs w:val="20"/>
              </w:rPr>
              <w:t xml:space="preserve">Product Owner</w:t>
            </w:r>
          </w:p>
        </w:tc>
        <w:tc>
          <w:tcPr>
            <w:tcW w:type="dxa" w:w="2500"/>
            <w:vAlign w:val="center"/>
          </w:tcPr>
          <w:p>
            <w:r>
              <w:rPr>
                <w:b w:val="false"/>
                <w:bCs w:val="false"/>
                <w:sz w:val="20"/>
                <w:szCs w:val="20"/>
              </w:rPr>
              <w:t xml:space="preserve">Abdelrhman</w:t>
            </w:r>
          </w:p>
        </w:tc>
        <w:tc>
          <w:tcPr>
            <w:tcW w:type="dxa" w:w="2200"/>
            <w:vAlign w:val="center"/>
          </w:tcPr>
          <w:p>
            <w:r>
              <w:rPr>
                <w:b w:val="false"/>
                <w:bCs w:val="false"/>
                <w:sz w:val="20"/>
                <w:szCs w:val="20"/>
              </w:rPr>
              <w:t xml:space="preserve"/>
            </w:r>
          </w:p>
        </w:tc>
        <w:tc>
          <w:tcPr>
            <w:tcW w:type="dxa" w:w="1500"/>
            <w:vAlign w:val="center"/>
          </w:tcPr>
          <w:p>
            <w:r>
              <w:rPr>
                <w:b w:val="false"/>
                <w:bCs w:val="false"/>
                <w:sz w:val="20"/>
                <w:szCs w:val="20"/>
              </w:rPr>
              <w:t xml:space="preserve"/>
            </w:r>
          </w:p>
        </w:tc>
      </w:tr>
      <w:tr>
        <w:tc>
          <w:tcPr>
            <w:tcW w:type="dxa" w:w="2800"/>
            <w:shd w:fill="F2F2F2" w:val="clear"/>
            <w:vAlign w:val="center"/>
          </w:tcPr>
          <w:p>
            <w:r>
              <w:rPr>
                <w:b w:val="false"/>
                <w:bCs w:val="false"/>
                <w:sz w:val="20"/>
                <w:szCs w:val="20"/>
              </w:rPr>
              <w:t xml:space="preserve">Technical Lead</w:t>
            </w:r>
          </w:p>
        </w:tc>
        <w:tc>
          <w:tcPr>
            <w:tcW w:type="dxa" w:w="2500"/>
            <w:shd w:fill="F2F2F2" w:val="clear"/>
            <w:vAlign w:val="center"/>
          </w:tcPr>
          <w:p>
            <w:r>
              <w:rPr>
                <w:b w:val="false"/>
                <w:bCs w:val="false"/>
                <w:sz w:val="20"/>
                <w:szCs w:val="20"/>
              </w:rPr>
              <w:t xml:space="preserve"/>
            </w:r>
          </w:p>
        </w:tc>
        <w:tc>
          <w:tcPr>
            <w:tcW w:type="dxa" w:w="2200"/>
            <w:shd w:fill="F2F2F2" w:val="clear"/>
            <w:vAlign w:val="center"/>
          </w:tcPr>
          <w:p>
            <w:r>
              <w:rPr>
                <w:b w:val="false"/>
                <w:bCs w:val="false"/>
                <w:sz w:val="20"/>
                <w:szCs w:val="20"/>
              </w:rPr>
              <w:t xml:space="preserve"/>
            </w:r>
          </w:p>
        </w:tc>
        <w:tc>
          <w:tcPr>
            <w:tcW w:type="dxa" w:w="1500"/>
            <w:shd w:fill="F2F2F2" w:val="clear"/>
            <w:vAlign w:val="center"/>
          </w:tcPr>
          <w:p>
            <w:r>
              <w:rPr>
                <w:b w:val="false"/>
                <w:bCs w:val="false"/>
                <w:sz w:val="20"/>
                <w:szCs w:val="20"/>
              </w:rPr>
              <w:t xml:space="preserve"/>
            </w:r>
          </w:p>
        </w:tc>
      </w:tr>
      <w:tr>
        <w:tc>
          <w:tcPr>
            <w:tcW w:type="dxa" w:w="2800"/>
            <w:vAlign w:val="center"/>
          </w:tcPr>
          <w:p>
            <w:r>
              <w:rPr>
                <w:b w:val="false"/>
                <w:bCs w:val="false"/>
                <w:sz w:val="20"/>
                <w:szCs w:val="20"/>
              </w:rPr>
              <w:t xml:space="preserve">Business Sponsor</w:t>
            </w:r>
          </w:p>
        </w:tc>
        <w:tc>
          <w:tcPr>
            <w:tcW w:type="dxa" w:w="2500"/>
            <w:vAlign w:val="center"/>
          </w:tcPr>
          <w:p>
            <w:r>
              <w:rPr>
                <w:b w:val="false"/>
                <w:bCs w:val="false"/>
                <w:sz w:val="20"/>
                <w:szCs w:val="20"/>
              </w:rPr>
              <w:t xml:space="preserve"/>
            </w:r>
          </w:p>
        </w:tc>
        <w:tc>
          <w:tcPr>
            <w:tcW w:type="dxa" w:w="2200"/>
            <w:vAlign w:val="center"/>
          </w:tcPr>
          <w:p>
            <w:r>
              <w:rPr>
                <w:b w:val="false"/>
                <w:bCs w:val="false"/>
                <w:sz w:val="20"/>
                <w:szCs w:val="20"/>
              </w:rPr>
              <w:t xml:space="preserve"/>
            </w:r>
          </w:p>
        </w:tc>
        <w:tc>
          <w:tcPr>
            <w:tcW w:type="dxa" w:w="1500"/>
            <w:vAlign w:val="center"/>
          </w:tcPr>
          <w:p>
            <w:r>
              <w:rPr>
                <w:b w:val="false"/>
                <w:bCs w:val="false"/>
                <w:sz w:val="20"/>
                <w:szCs w:val="20"/>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2026-09-03T14:16:06.468Z</dcterms:created>
  <dcterms:modified xsi:type="dcterms:W3CDTF">2026-09-03T14:16:06.481Z</dcterms:modified>
</cp:coreProperties>
</file>

<file path=docProps/custom.xml><?xml version="1.0" encoding="utf-8"?>
<Properties xmlns="http://schemas.openxmlformats.org/officeDocument/2006/custom-properties" xmlns:vt="http://schemas.openxmlformats.org/officeDocument/2006/docPropsVTypes"/>
</file>